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721" w:rsidRDefault="00FD3721">
      <w:pPr>
        <w:pStyle w:val="BodyText"/>
        <w:spacing w:before="61"/>
        <w:rPr>
          <w:rFonts w:ascii="Times New Roman"/>
        </w:rPr>
      </w:pPr>
    </w:p>
    <w:p w:rsidR="00EC5BB7" w:rsidRDefault="00EC5BB7" w:rsidP="00EC5BB7">
      <w:pPr>
        <w:pStyle w:val="BodyText"/>
      </w:pPr>
      <w:r>
        <w:t xml:space="preserve">   </w:t>
      </w:r>
    </w:p>
    <w:p w:rsidR="00EC5BB7" w:rsidRPr="00634723" w:rsidRDefault="00EC5BB7" w:rsidP="00EC5BB7">
      <w:pPr>
        <w:jc w:val="center"/>
        <w:rPr>
          <w:rFonts w:ascii="Times New Roman" w:hAnsi="Times New Roman"/>
          <w:b/>
          <w:bCs/>
        </w:rPr>
      </w:pPr>
      <w:r w:rsidRPr="00634723">
        <w:rPr>
          <w:rFonts w:ascii="Times New Roman" w:hAnsi="Times New Roman"/>
          <w:b/>
          <w:bCs/>
        </w:rPr>
        <w:t xml:space="preserve">HƯỚNG DẪN CÁC THỦ TỤC NỘP ĐƠN XIN CẤP </w:t>
      </w:r>
    </w:p>
    <w:p w:rsidR="00EC5BB7" w:rsidRPr="00634723" w:rsidRDefault="00EC5BB7" w:rsidP="00EC5BB7">
      <w:pPr>
        <w:jc w:val="center"/>
        <w:rPr>
          <w:rFonts w:ascii="Times New Roman" w:hAnsi="Times New Roman"/>
          <w:b/>
          <w:bCs/>
        </w:rPr>
      </w:pPr>
      <w:r w:rsidRPr="00634723">
        <w:rPr>
          <w:rFonts w:ascii="Times New Roman" w:hAnsi="Times New Roman"/>
          <w:b/>
          <w:bCs/>
        </w:rPr>
        <w:t>BẰNG ĐỘC QUYỀN SÁNG CHẾ VÀ GIẢI PHÁP HỮU ÍCH TẠI VIỆT NAM</w:t>
      </w:r>
    </w:p>
    <w:p w:rsidR="00EC5BB7" w:rsidRPr="00634723" w:rsidRDefault="00EC5BB7" w:rsidP="00EC5BB7">
      <w:pPr>
        <w:jc w:val="both"/>
        <w:rPr>
          <w:rFonts w:ascii="Times New Roman" w:hAnsi="Times New Roman"/>
        </w:rPr>
      </w:pPr>
    </w:p>
    <w:p w:rsidR="00EC5BB7" w:rsidRPr="00634723" w:rsidRDefault="00EC5BB7" w:rsidP="00EC5BB7">
      <w:pPr>
        <w:jc w:val="both"/>
        <w:rPr>
          <w:rFonts w:ascii="Times New Roman" w:hAnsi="Times New Roman"/>
        </w:rPr>
      </w:pPr>
    </w:p>
    <w:p w:rsidR="00EC5BB7" w:rsidRPr="00634723" w:rsidRDefault="00EC5BB7" w:rsidP="00EC5BB7">
      <w:pPr>
        <w:jc w:val="both"/>
        <w:rPr>
          <w:rFonts w:ascii="Times New Roman" w:hAnsi="Times New Roman"/>
        </w:rPr>
      </w:pPr>
    </w:p>
    <w:p w:rsidR="00EC5BB7" w:rsidRPr="00634723" w:rsidRDefault="00EC5BB7" w:rsidP="00EC5BB7">
      <w:pPr>
        <w:jc w:val="both"/>
        <w:rPr>
          <w:rFonts w:ascii="Times New Roman" w:hAnsi="Times New Roman"/>
          <w:b/>
          <w:bCs/>
        </w:rPr>
      </w:pPr>
      <w:r w:rsidRPr="00634723">
        <w:rPr>
          <w:rFonts w:ascii="Times New Roman" w:hAnsi="Times New Roman"/>
          <w:b/>
          <w:bCs/>
        </w:rPr>
        <w:t>Các thông tin cần cung cấp</w:t>
      </w:r>
    </w:p>
    <w:p w:rsidR="00EC5BB7" w:rsidRPr="00634723" w:rsidRDefault="00EC5BB7" w:rsidP="00EC5BB7">
      <w:pPr>
        <w:jc w:val="both"/>
        <w:rPr>
          <w:rFonts w:ascii="Times New Roman" w:hAnsi="Times New Roman"/>
        </w:rPr>
      </w:pPr>
    </w:p>
    <w:p w:rsidR="00EC5BB7" w:rsidRPr="00634723" w:rsidRDefault="00EC5BB7" w:rsidP="00EC5BB7">
      <w:pPr>
        <w:widowControl/>
        <w:numPr>
          <w:ilvl w:val="0"/>
          <w:numId w:val="7"/>
        </w:numPr>
        <w:autoSpaceDE/>
        <w:autoSpaceDN/>
        <w:jc w:val="both"/>
        <w:rPr>
          <w:rFonts w:ascii="Times New Roman" w:hAnsi="Times New Roman"/>
        </w:rPr>
      </w:pPr>
      <w:r w:rsidRPr="00634723">
        <w:rPr>
          <w:rFonts w:ascii="Times New Roman" w:hAnsi="Times New Roman"/>
        </w:rPr>
        <w:t>Họ tên đầy đủ, địa chỉ và quốc tịch của người nộp đơn;</w:t>
      </w:r>
    </w:p>
    <w:p w:rsidR="00EC5BB7" w:rsidRPr="00634723" w:rsidRDefault="00EC5BB7" w:rsidP="00EC5BB7">
      <w:pPr>
        <w:widowControl/>
        <w:numPr>
          <w:ilvl w:val="0"/>
          <w:numId w:val="7"/>
        </w:numPr>
        <w:autoSpaceDE/>
        <w:autoSpaceDN/>
        <w:jc w:val="both"/>
        <w:rPr>
          <w:rFonts w:ascii="Times New Roman" w:hAnsi="Times New Roman"/>
        </w:rPr>
      </w:pPr>
      <w:r w:rsidRPr="00634723">
        <w:rPr>
          <w:rFonts w:ascii="Times New Roman" w:hAnsi="Times New Roman"/>
        </w:rPr>
        <w:t>Họ tên đầy đủ, địa chỉ và quốc tịch của tác giả sáng chế/giải pháp hữu ích;</w:t>
      </w:r>
    </w:p>
    <w:p w:rsidR="00EC5BB7" w:rsidRPr="00634723" w:rsidRDefault="00EC5BB7" w:rsidP="00EC5BB7">
      <w:pPr>
        <w:widowControl/>
        <w:numPr>
          <w:ilvl w:val="0"/>
          <w:numId w:val="7"/>
        </w:numPr>
        <w:autoSpaceDE/>
        <w:autoSpaceDN/>
        <w:jc w:val="both"/>
        <w:rPr>
          <w:rFonts w:ascii="Times New Roman" w:hAnsi="Times New Roman"/>
        </w:rPr>
      </w:pPr>
      <w:r w:rsidRPr="00634723">
        <w:rPr>
          <w:rFonts w:ascii="Times New Roman" w:hAnsi="Times New Roman"/>
        </w:rPr>
        <w:t>Tên của sáng chế/giải pháp hữu ích;</w:t>
      </w:r>
    </w:p>
    <w:p w:rsidR="00EC5BB7" w:rsidRPr="00634723" w:rsidRDefault="00EC5BB7" w:rsidP="00EC5BB7">
      <w:pPr>
        <w:widowControl/>
        <w:numPr>
          <w:ilvl w:val="0"/>
          <w:numId w:val="7"/>
        </w:numPr>
        <w:autoSpaceDE/>
        <w:autoSpaceDN/>
        <w:jc w:val="both"/>
        <w:rPr>
          <w:rFonts w:ascii="Times New Roman" w:hAnsi="Times New Roman"/>
        </w:rPr>
      </w:pPr>
      <w:r w:rsidRPr="00634723">
        <w:rPr>
          <w:rFonts w:ascii="Times New Roman" w:hAnsi="Times New Roman"/>
        </w:rPr>
        <w:t>Số đơn ưu tiên, ngày ưu tiên và nước ưu tiên của đơn (trong trường hợp đơn có xin hưởng quyền ưu tiên);</w:t>
      </w:r>
    </w:p>
    <w:p w:rsidR="00EC5BB7" w:rsidRPr="00634723" w:rsidRDefault="00EC5BB7" w:rsidP="00EC5BB7">
      <w:pPr>
        <w:widowControl/>
        <w:numPr>
          <w:ilvl w:val="0"/>
          <w:numId w:val="7"/>
        </w:numPr>
        <w:autoSpaceDE/>
        <w:autoSpaceDN/>
        <w:jc w:val="both"/>
        <w:rPr>
          <w:rFonts w:ascii="Times New Roman" w:hAnsi="Times New Roman"/>
        </w:rPr>
      </w:pPr>
      <w:r w:rsidRPr="00634723">
        <w:rPr>
          <w:rFonts w:ascii="Times New Roman" w:hAnsi="Times New Roman"/>
        </w:rPr>
        <w:t>Số đơn quốc tế và số công bố đơn quốc tế (trong trường hợp là đơn PCT vào pha quốc gia Việt Nam).</w:t>
      </w:r>
    </w:p>
    <w:p w:rsidR="00EC5BB7" w:rsidRPr="00634723" w:rsidRDefault="00EC5BB7" w:rsidP="00EC5BB7">
      <w:pPr>
        <w:jc w:val="both"/>
        <w:rPr>
          <w:rFonts w:ascii="Times New Roman" w:hAnsi="Times New Roman"/>
        </w:rPr>
      </w:pPr>
    </w:p>
    <w:p w:rsidR="00EC5BB7" w:rsidRPr="00634723" w:rsidRDefault="00EC5BB7" w:rsidP="00EC5BB7">
      <w:pPr>
        <w:jc w:val="both"/>
        <w:rPr>
          <w:rFonts w:ascii="Times New Roman" w:hAnsi="Times New Roman"/>
        </w:rPr>
      </w:pPr>
    </w:p>
    <w:p w:rsidR="00EC5BB7" w:rsidRPr="00634723" w:rsidRDefault="00EC5BB7" w:rsidP="00EC5BB7">
      <w:pPr>
        <w:jc w:val="both"/>
        <w:rPr>
          <w:rFonts w:ascii="Times New Roman" w:hAnsi="Times New Roman"/>
          <w:b/>
          <w:bCs/>
        </w:rPr>
      </w:pPr>
      <w:r w:rsidRPr="00634723">
        <w:rPr>
          <w:rFonts w:ascii="Times New Roman" w:hAnsi="Times New Roman"/>
          <w:b/>
          <w:bCs/>
        </w:rPr>
        <w:t>Các tài liệu cần cung cấp</w:t>
      </w:r>
    </w:p>
    <w:p w:rsidR="00EC5BB7" w:rsidRPr="00634723" w:rsidRDefault="00EC5BB7" w:rsidP="00EC5BB7">
      <w:pPr>
        <w:jc w:val="both"/>
        <w:rPr>
          <w:rFonts w:ascii="Times New Roman" w:hAnsi="Times New Roman"/>
        </w:rPr>
      </w:pPr>
    </w:p>
    <w:p w:rsidR="00EC5BB7" w:rsidRPr="00634723" w:rsidRDefault="00EC5BB7" w:rsidP="00EC5BB7">
      <w:pPr>
        <w:widowControl/>
        <w:numPr>
          <w:ilvl w:val="0"/>
          <w:numId w:val="8"/>
        </w:numPr>
        <w:autoSpaceDE/>
        <w:autoSpaceDN/>
        <w:jc w:val="both"/>
        <w:rPr>
          <w:rFonts w:ascii="Times New Roman" w:hAnsi="Times New Roman"/>
        </w:rPr>
      </w:pPr>
      <w:r w:rsidRPr="00634723">
        <w:rPr>
          <w:rFonts w:ascii="Times New Roman" w:hAnsi="Times New Roman"/>
        </w:rPr>
        <w:t>Bản mô tả sáng chế/giải pháp hữu ích, bao gồm tên sáng chế/giải pháp hữu ích, phần mô tả, phần Yêu cầu bảo hộ và phần tóm tắt;</w:t>
      </w:r>
    </w:p>
    <w:p w:rsidR="00EC5BB7" w:rsidRPr="00634723" w:rsidRDefault="00EC5BB7" w:rsidP="00EC5BB7">
      <w:pPr>
        <w:widowControl/>
        <w:numPr>
          <w:ilvl w:val="0"/>
          <w:numId w:val="8"/>
        </w:numPr>
        <w:autoSpaceDE/>
        <w:autoSpaceDN/>
        <w:jc w:val="both"/>
        <w:rPr>
          <w:rFonts w:ascii="Times New Roman" w:hAnsi="Times New Roman"/>
        </w:rPr>
      </w:pPr>
      <w:r w:rsidRPr="00634723">
        <w:rPr>
          <w:rFonts w:ascii="Times New Roman" w:hAnsi="Times New Roman"/>
        </w:rPr>
        <w:t>Hình vẽ minh hoạ (nếu có);</w:t>
      </w:r>
    </w:p>
    <w:p w:rsidR="00EC5BB7" w:rsidRPr="00634723" w:rsidRDefault="00EC5BB7" w:rsidP="00EC5BB7">
      <w:pPr>
        <w:widowControl/>
        <w:numPr>
          <w:ilvl w:val="0"/>
          <w:numId w:val="8"/>
        </w:numPr>
        <w:autoSpaceDE/>
        <w:autoSpaceDN/>
        <w:jc w:val="both"/>
        <w:rPr>
          <w:rFonts w:ascii="Times New Roman" w:hAnsi="Times New Roman"/>
        </w:rPr>
      </w:pPr>
      <w:r w:rsidRPr="00634723">
        <w:rPr>
          <w:rFonts w:ascii="Times New Roman" w:hAnsi="Times New Roman"/>
        </w:rPr>
        <w:t xml:space="preserve">Giấy Uỷ Quyền bản gốc (không cần công chứng). </w:t>
      </w:r>
    </w:p>
    <w:p w:rsidR="00EC5BB7" w:rsidRPr="00634723" w:rsidRDefault="00EC5BB7" w:rsidP="00EC5BB7">
      <w:pPr>
        <w:ind w:left="720"/>
        <w:jc w:val="both"/>
        <w:rPr>
          <w:rFonts w:ascii="Times New Roman" w:hAnsi="Times New Roman"/>
          <w:i/>
          <w:iCs/>
        </w:rPr>
      </w:pPr>
      <w:r w:rsidRPr="00634723">
        <w:rPr>
          <w:rFonts w:ascii="Times New Roman" w:hAnsi="Times New Roman"/>
          <w:i/>
          <w:iCs/>
        </w:rPr>
        <w:t xml:space="preserve">Bản sao Giấy Uỷ Quyền có thể được chấp nhận tại thời điểm nộp đơn nhưng bản gốc cần phải được bổ sung trong thời hạn </w:t>
      </w:r>
      <w:r w:rsidRPr="00634723">
        <w:rPr>
          <w:rFonts w:ascii="Times New Roman" w:hAnsi="Times New Roman"/>
          <w:b/>
          <w:bCs/>
          <w:i/>
          <w:iCs/>
        </w:rPr>
        <w:t>01 tháng</w:t>
      </w:r>
      <w:r w:rsidRPr="00634723">
        <w:rPr>
          <w:rFonts w:ascii="Times New Roman" w:hAnsi="Times New Roman"/>
          <w:i/>
          <w:iCs/>
        </w:rPr>
        <w:t xml:space="preserve"> tính từ ngày nộp đơn tại Việt Nam. Trong trường hợp không có Giấy Uỷ Quyền tại thời điểm nộp đơn thì phí nộp muộn tài liệu sẽ phát sinh.</w:t>
      </w:r>
    </w:p>
    <w:p w:rsidR="00EC5BB7" w:rsidRPr="00634723" w:rsidRDefault="00EC5BB7" w:rsidP="00EC5BB7">
      <w:pPr>
        <w:widowControl/>
        <w:numPr>
          <w:ilvl w:val="0"/>
          <w:numId w:val="8"/>
        </w:numPr>
        <w:autoSpaceDE/>
        <w:autoSpaceDN/>
        <w:jc w:val="both"/>
        <w:rPr>
          <w:rFonts w:ascii="Times New Roman" w:hAnsi="Times New Roman"/>
        </w:rPr>
      </w:pPr>
      <w:r w:rsidRPr="00634723">
        <w:rPr>
          <w:rFonts w:ascii="Times New Roman" w:hAnsi="Times New Roman"/>
        </w:rPr>
        <w:t xml:space="preserve">Bản sao tài liệu xin hưởng quyền ưu tiên có xác nhận của cơ quan nơi đơn ưu tiên được nộp (chỉ yêu cầu đối với đơn xin hưởng quyền ưu tiên theo Công ước Paris). Có thể bổ sung tài liệu này sau trong thời hạn </w:t>
      </w:r>
      <w:r w:rsidRPr="00634723">
        <w:rPr>
          <w:rFonts w:ascii="Times New Roman" w:hAnsi="Times New Roman"/>
          <w:b/>
          <w:bCs/>
        </w:rPr>
        <w:t>01 tháng</w:t>
      </w:r>
      <w:r w:rsidRPr="00634723">
        <w:rPr>
          <w:rFonts w:ascii="Times New Roman" w:hAnsi="Times New Roman"/>
        </w:rPr>
        <w:t xml:space="preserve"> tính từ ngày nộp đơn tại Việt Nam;</w:t>
      </w:r>
    </w:p>
    <w:p w:rsidR="00EC5BB7" w:rsidRPr="00634723" w:rsidRDefault="00EC5BB7" w:rsidP="00EC5BB7">
      <w:pPr>
        <w:widowControl/>
        <w:numPr>
          <w:ilvl w:val="0"/>
          <w:numId w:val="8"/>
        </w:numPr>
        <w:autoSpaceDE/>
        <w:autoSpaceDN/>
        <w:jc w:val="both"/>
        <w:rPr>
          <w:rFonts w:ascii="Times New Roman" w:hAnsi="Times New Roman"/>
          <w:b/>
          <w:bCs/>
        </w:rPr>
      </w:pPr>
      <w:r w:rsidRPr="00634723">
        <w:rPr>
          <w:rFonts w:ascii="Times New Roman" w:hAnsi="Times New Roman"/>
        </w:rPr>
        <w:t>Đối với các đơn PCT vào pha quốc gia Việt Nam thì ngoài các tài liệu nêu trên, cần phải cung cấp các tài liệu sau đây: Công bố đơn PCT, Báo cáo Xét nghiệm Sơ bộ Quốc tế (</w:t>
      </w:r>
      <w:r w:rsidRPr="00634723">
        <w:rPr>
          <w:rFonts w:ascii="Times New Roman" w:hAnsi="Times New Roman"/>
          <w:b/>
          <w:bCs/>
        </w:rPr>
        <w:t>PCT/IPER/409</w:t>
      </w:r>
      <w:r w:rsidRPr="00634723">
        <w:rPr>
          <w:rFonts w:ascii="Times New Roman" w:hAnsi="Times New Roman"/>
        </w:rPr>
        <w:t>) (nếu có), Thông báo về những thay đổi liên quan tới đơn (</w:t>
      </w:r>
      <w:r w:rsidRPr="00634723">
        <w:rPr>
          <w:rFonts w:ascii="Times New Roman" w:hAnsi="Times New Roman"/>
          <w:b/>
          <w:bCs/>
        </w:rPr>
        <w:t>PCT/IB/306</w:t>
      </w:r>
      <w:r w:rsidRPr="00634723">
        <w:rPr>
          <w:rFonts w:ascii="Times New Roman" w:hAnsi="Times New Roman"/>
        </w:rPr>
        <w:t>) (nếu có), Báo cáo Kết quả Tra cứu Quốc tế (</w:t>
      </w:r>
      <w:r w:rsidRPr="00634723">
        <w:rPr>
          <w:rFonts w:ascii="Times New Roman" w:hAnsi="Times New Roman"/>
          <w:b/>
          <w:bCs/>
        </w:rPr>
        <w:t>PCT/ISA/210</w:t>
      </w:r>
      <w:r w:rsidRPr="00634723">
        <w:rPr>
          <w:rFonts w:ascii="Times New Roman" w:hAnsi="Times New Roman"/>
        </w:rPr>
        <w:t xml:space="preserve">)... Ngoài ra, đối với loại đơn này, Giấy Uỷ Quyền có thể được bổ sung trong vòng </w:t>
      </w:r>
      <w:r w:rsidRPr="00634723">
        <w:rPr>
          <w:rFonts w:ascii="Times New Roman" w:hAnsi="Times New Roman"/>
          <w:b/>
          <w:bCs/>
        </w:rPr>
        <w:t>34 tháng</w:t>
      </w:r>
      <w:r w:rsidRPr="00634723">
        <w:rPr>
          <w:rFonts w:ascii="Times New Roman" w:hAnsi="Times New Roman"/>
        </w:rPr>
        <w:t xml:space="preserve"> tính từ ngày ưu tiên. Trong trường hợp việc gửi bản mô tả gây ra khó khăn, đề nghị cung cấp sớm số đơn hoặc số công bố đơn PCT để chúng tôi tiến hành tải bản mô tả từ cơ sở dữ liệu của WIPO.</w:t>
      </w:r>
    </w:p>
    <w:p w:rsidR="00EC5BB7" w:rsidRPr="00634723" w:rsidRDefault="00EC5BB7" w:rsidP="00EC5BB7">
      <w:pPr>
        <w:jc w:val="both"/>
        <w:rPr>
          <w:rFonts w:ascii="Times New Roman" w:hAnsi="Times New Roman"/>
          <w:b/>
          <w:bCs/>
        </w:rPr>
      </w:pPr>
    </w:p>
    <w:p w:rsidR="00EC5BB7" w:rsidRPr="00634723" w:rsidRDefault="00EC5BB7" w:rsidP="00EC5BB7">
      <w:pPr>
        <w:jc w:val="both"/>
        <w:rPr>
          <w:rFonts w:ascii="Times New Roman" w:hAnsi="Times New Roman"/>
          <w:b/>
          <w:bCs/>
        </w:rPr>
      </w:pPr>
    </w:p>
    <w:p w:rsidR="00EC5BB7" w:rsidRPr="00634723" w:rsidRDefault="00EC5BB7" w:rsidP="00EC5BB7">
      <w:pPr>
        <w:jc w:val="both"/>
        <w:rPr>
          <w:rFonts w:ascii="Times New Roman" w:hAnsi="Times New Roman"/>
          <w:b/>
          <w:bCs/>
        </w:rPr>
      </w:pPr>
      <w:r w:rsidRPr="00634723">
        <w:rPr>
          <w:rFonts w:ascii="Times New Roman" w:hAnsi="Times New Roman"/>
          <w:b/>
          <w:bCs/>
        </w:rPr>
        <w:t>Các thông tin chung</w:t>
      </w:r>
    </w:p>
    <w:p w:rsidR="00EC5BB7" w:rsidRPr="00634723" w:rsidRDefault="00EC5BB7" w:rsidP="00EC5BB7">
      <w:pPr>
        <w:jc w:val="both"/>
        <w:rPr>
          <w:rFonts w:ascii="Times New Roman" w:hAnsi="Times New Roman"/>
          <w:b/>
          <w:bCs/>
        </w:rPr>
      </w:pPr>
    </w:p>
    <w:p w:rsidR="00EC5BB7" w:rsidRPr="00634723" w:rsidRDefault="00EC5BB7" w:rsidP="00EC5BB7">
      <w:pPr>
        <w:widowControl/>
        <w:numPr>
          <w:ilvl w:val="0"/>
          <w:numId w:val="9"/>
        </w:numPr>
        <w:autoSpaceDE/>
        <w:autoSpaceDN/>
        <w:spacing w:before="100" w:beforeAutospacing="1" w:after="100" w:afterAutospacing="1"/>
        <w:jc w:val="both"/>
        <w:rPr>
          <w:rFonts w:ascii="Times New Roman" w:hAnsi="Times New Roman"/>
        </w:rPr>
      </w:pPr>
      <w:r w:rsidRPr="00634723">
        <w:rPr>
          <w:rFonts w:ascii="Times New Roman" w:hAnsi="Times New Roman"/>
        </w:rPr>
        <w:t xml:space="preserve">Thời hạn xin hưởng quyền ưu tiên theo Công ước Paris cho đơn sáng chế/giải pháp hữu ích là </w:t>
      </w:r>
      <w:r w:rsidRPr="00634723">
        <w:rPr>
          <w:rFonts w:ascii="Times New Roman" w:hAnsi="Times New Roman"/>
          <w:b/>
          <w:bCs/>
        </w:rPr>
        <w:t>12 tháng</w:t>
      </w:r>
      <w:r w:rsidRPr="00634723">
        <w:rPr>
          <w:rFonts w:ascii="Times New Roman" w:hAnsi="Times New Roman"/>
        </w:rPr>
        <w:t xml:space="preserve"> tính từ ngày ưu tiên; </w:t>
      </w:r>
    </w:p>
    <w:p w:rsidR="00EC5BB7" w:rsidRPr="00634723" w:rsidRDefault="00EC5BB7" w:rsidP="00EC5BB7">
      <w:pPr>
        <w:widowControl/>
        <w:numPr>
          <w:ilvl w:val="0"/>
          <w:numId w:val="9"/>
        </w:numPr>
        <w:autoSpaceDE/>
        <w:autoSpaceDN/>
        <w:jc w:val="both"/>
        <w:rPr>
          <w:rFonts w:ascii="Times New Roman" w:hAnsi="Times New Roman"/>
        </w:rPr>
      </w:pPr>
      <w:r w:rsidRPr="00634723">
        <w:rPr>
          <w:rFonts w:ascii="Times New Roman" w:hAnsi="Times New Roman"/>
        </w:rPr>
        <w:t xml:space="preserve">Thời hạn để đơn PCT vào pha quốc gia Việt Nam là </w:t>
      </w:r>
      <w:r w:rsidRPr="00634723">
        <w:rPr>
          <w:rFonts w:ascii="Times New Roman" w:hAnsi="Times New Roman"/>
          <w:b/>
          <w:bCs/>
        </w:rPr>
        <w:t>31 tháng</w:t>
      </w:r>
      <w:r w:rsidRPr="00634723">
        <w:rPr>
          <w:rFonts w:ascii="Times New Roman" w:hAnsi="Times New Roman"/>
        </w:rPr>
        <w:t xml:space="preserve"> tính từ ngày ưu tiên;</w:t>
      </w:r>
    </w:p>
    <w:p w:rsidR="00EC5BB7" w:rsidRPr="00634723" w:rsidRDefault="00EC5BB7" w:rsidP="00EC5BB7">
      <w:pPr>
        <w:widowControl/>
        <w:numPr>
          <w:ilvl w:val="0"/>
          <w:numId w:val="9"/>
        </w:numPr>
        <w:autoSpaceDE/>
        <w:autoSpaceDN/>
        <w:jc w:val="both"/>
        <w:rPr>
          <w:rFonts w:ascii="Times New Roman" w:hAnsi="Times New Roman"/>
        </w:rPr>
      </w:pPr>
      <w:r w:rsidRPr="00634723">
        <w:rPr>
          <w:rFonts w:ascii="Times New Roman" w:hAnsi="Times New Roman"/>
        </w:rPr>
        <w:t>Trong những trường hợp cần thiết, Cục Sở hữu Trí tuệ Việt Nam có thể yêu cầu bổ sung Giấy xác nhận việc chuyển nhượng và bản dịch tiếng Việt của tài liệu xin hưởng quyền ưu tiên;</w:t>
      </w:r>
    </w:p>
    <w:p w:rsidR="00EC5BB7" w:rsidRPr="00634723" w:rsidRDefault="00EC5BB7" w:rsidP="00EC5BB7">
      <w:pPr>
        <w:widowControl/>
        <w:numPr>
          <w:ilvl w:val="0"/>
          <w:numId w:val="9"/>
        </w:numPr>
        <w:autoSpaceDE/>
        <w:autoSpaceDN/>
        <w:jc w:val="both"/>
        <w:rPr>
          <w:rFonts w:ascii="Times New Roman" w:hAnsi="Times New Roman"/>
        </w:rPr>
      </w:pPr>
      <w:r w:rsidRPr="00634723">
        <w:rPr>
          <w:rFonts w:ascii="Times New Roman" w:hAnsi="Times New Roman"/>
        </w:rPr>
        <w:t xml:space="preserve">Thời hạn để nộp yêu cầu xét nghiệm nội dung là </w:t>
      </w:r>
      <w:r w:rsidRPr="00634723">
        <w:rPr>
          <w:rFonts w:ascii="Times New Roman" w:hAnsi="Times New Roman"/>
          <w:b/>
          <w:bCs/>
        </w:rPr>
        <w:t>42 tháng</w:t>
      </w:r>
      <w:r w:rsidRPr="00634723">
        <w:rPr>
          <w:rFonts w:ascii="Times New Roman" w:hAnsi="Times New Roman"/>
        </w:rPr>
        <w:t xml:space="preserve"> (đối với đơn xin cấp Bằng độc quyền sáng chế) hoặc </w:t>
      </w:r>
      <w:r w:rsidRPr="00634723">
        <w:rPr>
          <w:rFonts w:ascii="Times New Roman" w:hAnsi="Times New Roman"/>
          <w:b/>
          <w:bCs/>
        </w:rPr>
        <w:t>36 tháng</w:t>
      </w:r>
      <w:r w:rsidRPr="00634723">
        <w:rPr>
          <w:rFonts w:ascii="Times New Roman" w:hAnsi="Times New Roman"/>
        </w:rPr>
        <w:t xml:space="preserve"> (đối với đơn xin cấp Bằng độc quyền giải pháp hữu ích) tính từ ngày ưu tiên sớm nhất;</w:t>
      </w:r>
    </w:p>
    <w:p w:rsidR="00EC5BB7" w:rsidRDefault="00EC5BB7" w:rsidP="00EC5BB7">
      <w:pPr>
        <w:widowControl/>
        <w:numPr>
          <w:ilvl w:val="0"/>
          <w:numId w:val="9"/>
        </w:numPr>
        <w:autoSpaceDE/>
        <w:autoSpaceDN/>
        <w:jc w:val="both"/>
        <w:rPr>
          <w:rFonts w:ascii="Times New Roman" w:hAnsi="Times New Roman"/>
        </w:rPr>
      </w:pPr>
      <w:r w:rsidRPr="00634723">
        <w:rPr>
          <w:rFonts w:ascii="Times New Roman" w:hAnsi="Times New Roman"/>
        </w:rPr>
        <w:t xml:space="preserve">Thời hạn cho việc xét nghiệm hình thức của đơn là </w:t>
      </w:r>
      <w:r w:rsidRPr="00634723">
        <w:rPr>
          <w:rFonts w:ascii="Times New Roman" w:hAnsi="Times New Roman"/>
          <w:b/>
          <w:bCs/>
        </w:rPr>
        <w:t>01 tháng</w:t>
      </w:r>
      <w:r w:rsidRPr="00634723">
        <w:rPr>
          <w:rFonts w:ascii="Times New Roman" w:hAnsi="Times New Roman"/>
        </w:rPr>
        <w:t xml:space="preserve"> tính từ ngày nộp đơn và thời hạn cho việc xét nghiệm nội dung là </w:t>
      </w:r>
      <w:r w:rsidRPr="00634723">
        <w:rPr>
          <w:rFonts w:ascii="Times New Roman" w:hAnsi="Times New Roman"/>
          <w:b/>
          <w:bCs/>
        </w:rPr>
        <w:t>18 tháng</w:t>
      </w:r>
      <w:r w:rsidRPr="00634723">
        <w:rPr>
          <w:rFonts w:ascii="Times New Roman" w:hAnsi="Times New Roman"/>
        </w:rPr>
        <w:t xml:space="preserve"> tính từ ngày Công bố đơn (nếu yêu cầu xét nghiệm nội dung được nộp trước ngày Công bố đơn) hoặc tính từ ngày nộp yêu cầu xét nghiệm nội dung (nếu yêu cầu xét nghiệm nội dung đó được nộp sau ngày Công bố đơn);</w:t>
      </w:r>
    </w:p>
    <w:p w:rsidR="00EC5BB7" w:rsidRDefault="00EC5BB7" w:rsidP="00EC5BB7">
      <w:pPr>
        <w:widowControl/>
        <w:autoSpaceDE/>
        <w:autoSpaceDN/>
        <w:ind w:left="720"/>
        <w:jc w:val="both"/>
        <w:rPr>
          <w:rFonts w:ascii="Times New Roman" w:hAnsi="Times New Roman"/>
        </w:rPr>
      </w:pPr>
    </w:p>
    <w:p w:rsidR="00EC5BB7" w:rsidRDefault="00EC5BB7" w:rsidP="00EC5BB7">
      <w:pPr>
        <w:widowControl/>
        <w:autoSpaceDE/>
        <w:autoSpaceDN/>
        <w:ind w:left="720"/>
        <w:jc w:val="both"/>
        <w:rPr>
          <w:rFonts w:ascii="Times New Roman" w:hAnsi="Times New Roman"/>
        </w:rPr>
      </w:pPr>
    </w:p>
    <w:p w:rsidR="00EC5BB7" w:rsidRDefault="00EC5BB7" w:rsidP="00EC5BB7">
      <w:pPr>
        <w:widowControl/>
        <w:autoSpaceDE/>
        <w:autoSpaceDN/>
        <w:ind w:left="720"/>
        <w:jc w:val="both"/>
        <w:rPr>
          <w:rFonts w:ascii="Times New Roman" w:hAnsi="Times New Roman"/>
        </w:rPr>
      </w:pPr>
    </w:p>
    <w:p w:rsidR="00EC5BB7" w:rsidRDefault="00EC5BB7" w:rsidP="00EC5BB7">
      <w:pPr>
        <w:widowControl/>
        <w:autoSpaceDE/>
        <w:autoSpaceDN/>
        <w:ind w:left="720"/>
        <w:jc w:val="both"/>
        <w:rPr>
          <w:rFonts w:ascii="Times New Roman" w:hAnsi="Times New Roman"/>
        </w:rPr>
      </w:pPr>
    </w:p>
    <w:p w:rsidR="00EC5BB7" w:rsidRPr="00634723" w:rsidRDefault="00EC5BB7" w:rsidP="00EC5BB7">
      <w:pPr>
        <w:widowControl/>
        <w:autoSpaceDE/>
        <w:autoSpaceDN/>
        <w:ind w:left="720"/>
        <w:jc w:val="both"/>
        <w:rPr>
          <w:rFonts w:ascii="Times New Roman" w:hAnsi="Times New Roman"/>
        </w:rPr>
      </w:pPr>
      <w:bookmarkStart w:id="0" w:name="_GoBack"/>
      <w:bookmarkEnd w:id="0"/>
    </w:p>
    <w:p w:rsidR="00EC5BB7" w:rsidRPr="00634723" w:rsidRDefault="00EC5BB7" w:rsidP="00EC5BB7">
      <w:pPr>
        <w:widowControl/>
        <w:numPr>
          <w:ilvl w:val="0"/>
          <w:numId w:val="9"/>
        </w:numPr>
        <w:autoSpaceDE/>
        <w:autoSpaceDN/>
        <w:jc w:val="both"/>
        <w:rPr>
          <w:rFonts w:ascii="Times New Roman" w:hAnsi="Times New Roman"/>
        </w:rPr>
      </w:pPr>
      <w:r w:rsidRPr="00634723">
        <w:rPr>
          <w:rFonts w:ascii="Times New Roman" w:hAnsi="Times New Roman"/>
        </w:rPr>
        <w:t xml:space="preserve">Đơn đăng ký sáng chế hợp lệ được công bố trong </w:t>
      </w:r>
      <w:r w:rsidRPr="00634723">
        <w:rPr>
          <w:rFonts w:ascii="Times New Roman" w:hAnsi="Times New Roman"/>
          <w:b/>
          <w:bCs/>
        </w:rPr>
        <w:t>tháng thứ mười chín</w:t>
      </w:r>
      <w:r w:rsidRPr="00634723">
        <w:rPr>
          <w:rFonts w:ascii="Times New Roman" w:hAnsi="Times New Roman"/>
        </w:rPr>
        <w:t xml:space="preserve"> kể từ ngày ưu tiên hoặc ngày nộp đơn (nếu đơn không có ngày ưu tiên), hoặc trong thời hạn </w:t>
      </w:r>
      <w:r w:rsidRPr="00634723">
        <w:rPr>
          <w:rFonts w:ascii="Times New Roman" w:hAnsi="Times New Roman"/>
          <w:b/>
          <w:bCs/>
        </w:rPr>
        <w:t>02 tháng</w:t>
      </w:r>
      <w:r w:rsidRPr="00634723">
        <w:rPr>
          <w:rFonts w:ascii="Times New Roman" w:hAnsi="Times New Roman"/>
        </w:rPr>
        <w:t xml:space="preserve"> kể từ ngày chấp nhận đơn hợp lệ, tuỳ theo ngày nào muộn hơn. Do đó, để cho quá trình xét nghiệm nội dung đơn được rút ngắn, nên nộp yêu cầu công bố đơn sớm;</w:t>
      </w:r>
    </w:p>
    <w:p w:rsidR="00EC5BB7" w:rsidRPr="00634723" w:rsidRDefault="00EC5BB7" w:rsidP="00EC5BB7">
      <w:pPr>
        <w:widowControl/>
        <w:numPr>
          <w:ilvl w:val="0"/>
          <w:numId w:val="9"/>
        </w:numPr>
        <w:autoSpaceDE/>
        <w:autoSpaceDN/>
        <w:jc w:val="both"/>
        <w:rPr>
          <w:rFonts w:ascii="Times New Roman" w:hAnsi="Times New Roman"/>
        </w:rPr>
      </w:pPr>
      <w:r w:rsidRPr="00634723">
        <w:rPr>
          <w:rFonts w:ascii="Times New Roman" w:hAnsi="Times New Roman"/>
        </w:rPr>
        <w:t xml:space="preserve">Thời hạn hiệu lực của Bằng độc quyền sáng chế là </w:t>
      </w:r>
      <w:r w:rsidRPr="00634723">
        <w:rPr>
          <w:rFonts w:ascii="Times New Roman" w:hAnsi="Times New Roman"/>
          <w:b/>
          <w:bCs/>
        </w:rPr>
        <w:t>20 năm</w:t>
      </w:r>
      <w:r w:rsidRPr="00634723">
        <w:rPr>
          <w:rFonts w:ascii="Times New Roman" w:hAnsi="Times New Roman"/>
        </w:rPr>
        <w:t xml:space="preserve"> và của Bằng độc quyền giải pháp hữu ích là </w:t>
      </w:r>
      <w:r w:rsidRPr="00634723">
        <w:rPr>
          <w:rFonts w:ascii="Times New Roman" w:hAnsi="Times New Roman"/>
          <w:b/>
          <w:bCs/>
        </w:rPr>
        <w:t>10 năm</w:t>
      </w:r>
      <w:r w:rsidRPr="00634723">
        <w:rPr>
          <w:rFonts w:ascii="Times New Roman" w:hAnsi="Times New Roman"/>
        </w:rPr>
        <w:t xml:space="preserve"> tính từ ngày nộp đơn hợp lệ. Các Bằng độc quyền này có hiệu lực kể từ ngày cấp;</w:t>
      </w:r>
    </w:p>
    <w:p w:rsidR="00EC5BB7" w:rsidRPr="00634723" w:rsidRDefault="00EC5BB7" w:rsidP="00EC5BB7">
      <w:pPr>
        <w:widowControl/>
        <w:numPr>
          <w:ilvl w:val="0"/>
          <w:numId w:val="9"/>
        </w:numPr>
        <w:autoSpaceDE/>
        <w:autoSpaceDN/>
        <w:jc w:val="both"/>
        <w:rPr>
          <w:rFonts w:ascii="Times New Roman" w:hAnsi="Times New Roman"/>
        </w:rPr>
      </w:pPr>
      <w:r w:rsidRPr="00634723">
        <w:rPr>
          <w:rFonts w:ascii="Times New Roman" w:hAnsi="Times New Roman"/>
        </w:rPr>
        <w:t xml:space="preserve">Chỉ phải nộp phí duy trì hiệu lực sau khi Bằng độc quyền sáng chế/giải pháp hữu ích đã được cấp.  </w:t>
      </w:r>
    </w:p>
    <w:p w:rsidR="00EC5BB7" w:rsidRDefault="00EC5BB7" w:rsidP="00EC5BB7">
      <w:pPr>
        <w:pStyle w:val="BodyText"/>
      </w:pPr>
    </w:p>
    <w:p w:rsidR="00FD3721" w:rsidRDefault="00FD3721">
      <w:pPr>
        <w:pStyle w:val="BodyText"/>
        <w:jc w:val="both"/>
        <w:sectPr w:rsidR="00FD3721">
          <w:headerReference w:type="default" r:id="rId8"/>
          <w:footerReference w:type="default" r:id="rId9"/>
          <w:pgSz w:w="11910" w:h="16840"/>
          <w:pgMar w:top="1820" w:right="1133" w:bottom="780" w:left="850" w:header="569" w:footer="600" w:gutter="0"/>
          <w:cols w:space="720"/>
        </w:sectPr>
      </w:pPr>
    </w:p>
    <w:p w:rsidR="00FD3721" w:rsidRDefault="00F42D8E">
      <w:pPr>
        <w:spacing w:before="45"/>
        <w:rPr>
          <w:b/>
          <w:i/>
        </w:rPr>
      </w:pPr>
      <w:r>
        <w:rPr>
          <w:b/>
          <w:i/>
          <w:spacing w:val="-2"/>
        </w:rPr>
        <w:lastRenderedPageBreak/>
        <w:t>PROCEDURES</w:t>
      </w:r>
    </w:p>
    <w:p w:rsidR="00FD3721" w:rsidRDefault="00F42D8E">
      <w:pPr>
        <w:pStyle w:val="BodyText"/>
        <w:spacing w:before="268"/>
        <w:ind w:left="720" w:right="435"/>
        <w:jc w:val="both"/>
      </w:pPr>
      <w:r>
        <w:t>Patent/utility solution applications will be formally examined, then published, and then substantively examined.</w:t>
      </w:r>
    </w:p>
    <w:p w:rsidR="00FD3721" w:rsidRDefault="00FD3721">
      <w:pPr>
        <w:pStyle w:val="BodyText"/>
      </w:pPr>
    </w:p>
    <w:p w:rsidR="00FD3721" w:rsidRDefault="00F42D8E">
      <w:pPr>
        <w:pStyle w:val="Heading1"/>
        <w:spacing w:before="1"/>
        <w:ind w:left="720"/>
        <w:jc w:val="both"/>
      </w:pPr>
      <w:r>
        <w:t>Formality</w:t>
      </w:r>
      <w:r>
        <w:rPr>
          <w:spacing w:val="-9"/>
        </w:rPr>
        <w:t xml:space="preserve"> </w:t>
      </w:r>
      <w:r>
        <w:rPr>
          <w:spacing w:val="-2"/>
        </w:rPr>
        <w:t>examination</w:t>
      </w:r>
    </w:p>
    <w:p w:rsidR="00FD3721" w:rsidRDefault="00F42D8E">
      <w:pPr>
        <w:pStyle w:val="BodyText"/>
        <w:ind w:left="1439" w:right="9" w:firstLine="1"/>
        <w:jc w:val="both"/>
      </w:pPr>
      <w:r>
        <w:t xml:space="preserve">‐ For non‐PCT application, formality examination period is </w:t>
      </w:r>
      <w:r>
        <w:rPr>
          <w:b/>
        </w:rPr>
        <w:t xml:space="preserve">01 month </w:t>
      </w:r>
      <w:r>
        <w:t>from either (i) the filing date (if all required documents have been submitted), or (ii) the date on which the NOIP receives all required documents, whichever is later.</w:t>
      </w:r>
    </w:p>
    <w:p w:rsidR="00FD3721" w:rsidRDefault="00F42D8E">
      <w:pPr>
        <w:pStyle w:val="BodyText"/>
        <w:spacing w:before="268"/>
        <w:ind w:left="1440" w:right="5" w:hanging="1"/>
        <w:jc w:val="both"/>
      </w:pPr>
      <w:r>
        <w:t xml:space="preserve">‐ The time to start formally examining a national phase application of a PCT application is the first day of the </w:t>
      </w:r>
      <w:r>
        <w:rPr>
          <w:b/>
        </w:rPr>
        <w:t>32</w:t>
      </w:r>
      <w:r>
        <w:rPr>
          <w:b/>
          <w:vertAlign w:val="superscript"/>
        </w:rPr>
        <w:t>nd</w:t>
      </w:r>
      <w:r>
        <w:rPr>
          <w:b/>
        </w:rPr>
        <w:t xml:space="preserve"> </w:t>
      </w:r>
      <w:r>
        <w:t xml:space="preserve">month from the earliest priority date. Formality examination period is </w:t>
      </w:r>
      <w:r>
        <w:rPr>
          <w:b/>
        </w:rPr>
        <w:t xml:space="preserve">01 month </w:t>
      </w:r>
      <w:r>
        <w:t>from either (i) the start date (if all required documents have been submitted), or (ii)</w:t>
      </w:r>
      <w:r>
        <w:rPr>
          <w:spacing w:val="40"/>
        </w:rPr>
        <w:t xml:space="preserve"> </w:t>
      </w:r>
      <w:r>
        <w:t>the date on which the NOIP receives all required documents, whichever is later. If the</w:t>
      </w:r>
      <w:r>
        <w:rPr>
          <w:spacing w:val="40"/>
        </w:rPr>
        <w:t xml:space="preserve"> </w:t>
      </w:r>
      <w:r>
        <w:t xml:space="preserve">applicant wishes to have the application examined earlier, a Request for early formality examination should be filed, and fees (totally </w:t>
      </w:r>
      <w:r>
        <w:rPr>
          <w:b/>
        </w:rPr>
        <w:t>60.00 USD</w:t>
      </w:r>
      <w:r>
        <w:t xml:space="preserve">) for filing such Request will be </w:t>
      </w:r>
      <w:r>
        <w:rPr>
          <w:spacing w:val="-2"/>
        </w:rPr>
        <w:t>charged.</w:t>
      </w:r>
    </w:p>
    <w:p w:rsidR="00FD3721" w:rsidRDefault="00FD3721">
      <w:pPr>
        <w:pStyle w:val="BodyText"/>
      </w:pPr>
    </w:p>
    <w:p w:rsidR="00FD3721" w:rsidRDefault="00F42D8E">
      <w:pPr>
        <w:pStyle w:val="BodyText"/>
        <w:ind w:left="1440" w:right="7"/>
        <w:jc w:val="both"/>
      </w:pPr>
      <w:r>
        <w:t>‐ In practice, this period is often delayed due to the NOIP’s backlog. If the examination results are positive, the NOIP will issue a Decision on acceptance of the application. On the contrary, the NOIP will issue a formality Office action.</w:t>
      </w:r>
    </w:p>
    <w:p w:rsidR="00FD3721" w:rsidRDefault="00F42D8E">
      <w:pPr>
        <w:pStyle w:val="Heading1"/>
        <w:spacing w:before="268"/>
        <w:ind w:left="720"/>
      </w:pPr>
      <w:r>
        <w:rPr>
          <w:spacing w:val="-2"/>
        </w:rPr>
        <w:t>Publication</w:t>
      </w:r>
    </w:p>
    <w:p w:rsidR="00FD3721" w:rsidRDefault="00F42D8E">
      <w:pPr>
        <w:pStyle w:val="BodyText"/>
        <w:ind w:left="1440" w:right="8"/>
        <w:jc w:val="both"/>
      </w:pPr>
      <w:r>
        <w:t xml:space="preserve">‐ A valid patent/utility solution application is published in the </w:t>
      </w:r>
      <w:r>
        <w:rPr>
          <w:b/>
        </w:rPr>
        <w:t>19</w:t>
      </w:r>
      <w:r>
        <w:rPr>
          <w:b/>
          <w:vertAlign w:val="superscript"/>
        </w:rPr>
        <w:t>th</w:t>
      </w:r>
      <w:r>
        <w:rPr>
          <w:b/>
        </w:rPr>
        <w:t xml:space="preserve"> month </w:t>
      </w:r>
      <w:r>
        <w:t xml:space="preserve">from either (i) the earliest priority date or the filing date (if no priority is claimed), or (ii) within </w:t>
      </w:r>
      <w:r>
        <w:rPr>
          <w:b/>
        </w:rPr>
        <w:t xml:space="preserve">02 months </w:t>
      </w:r>
      <w:r>
        <w:t>from the date of official acceptance of valid application, whichever is later.</w:t>
      </w:r>
    </w:p>
    <w:p w:rsidR="00FD3721" w:rsidRDefault="00FD3721">
      <w:pPr>
        <w:pStyle w:val="BodyText"/>
      </w:pPr>
    </w:p>
    <w:p w:rsidR="00FD3721" w:rsidRDefault="00F42D8E">
      <w:pPr>
        <w:pStyle w:val="BodyText"/>
        <w:ind w:left="1440" w:right="7"/>
        <w:jc w:val="both"/>
      </w:pPr>
      <w:r>
        <w:t>‐ Substantive examination process only starts after the application is published. If the</w:t>
      </w:r>
      <w:r>
        <w:rPr>
          <w:spacing w:val="80"/>
        </w:rPr>
        <w:t xml:space="preserve"> </w:t>
      </w:r>
      <w:r>
        <w:t>applicant wishes to have the application published earlier, and thus the application will be substantively examined earlier, a Request for early publication should be filed, and fees</w:t>
      </w:r>
      <w:r>
        <w:rPr>
          <w:spacing w:val="40"/>
        </w:rPr>
        <w:t xml:space="preserve"> </w:t>
      </w:r>
      <w:r>
        <w:t xml:space="preserve">(totally </w:t>
      </w:r>
      <w:r>
        <w:rPr>
          <w:b/>
        </w:rPr>
        <w:t>60.00 USD</w:t>
      </w:r>
      <w:r>
        <w:t>) for filing such request will be incurred.</w:t>
      </w:r>
    </w:p>
    <w:p w:rsidR="00FD3721" w:rsidRDefault="00FD3721">
      <w:pPr>
        <w:pStyle w:val="BodyText"/>
      </w:pPr>
    </w:p>
    <w:p w:rsidR="00FD3721" w:rsidRDefault="00F42D8E">
      <w:pPr>
        <w:pStyle w:val="Heading1"/>
        <w:ind w:left="721"/>
      </w:pPr>
      <w:r>
        <w:t>Substantive</w:t>
      </w:r>
      <w:r>
        <w:rPr>
          <w:spacing w:val="-12"/>
        </w:rPr>
        <w:t xml:space="preserve"> </w:t>
      </w:r>
      <w:r>
        <w:rPr>
          <w:spacing w:val="-2"/>
        </w:rPr>
        <w:t>examination</w:t>
      </w:r>
    </w:p>
    <w:p w:rsidR="00FD3721" w:rsidRDefault="00F42D8E">
      <w:pPr>
        <w:pStyle w:val="BodyText"/>
        <w:ind w:left="1441" w:right="7"/>
        <w:jc w:val="both"/>
      </w:pPr>
      <w:r>
        <w:t xml:space="preserve">‐ For </w:t>
      </w:r>
      <w:r>
        <w:rPr>
          <w:u w:val="single"/>
        </w:rPr>
        <w:t>patent</w:t>
      </w:r>
      <w:r>
        <w:t xml:space="preserve"> applications, a request for substantive examination together with examination fees must be filed within </w:t>
      </w:r>
      <w:r>
        <w:rPr>
          <w:b/>
        </w:rPr>
        <w:t xml:space="preserve">42 months </w:t>
      </w:r>
      <w:r>
        <w:t>from the earliest priority date;</w:t>
      </w:r>
    </w:p>
    <w:p w:rsidR="00FD3721" w:rsidRDefault="00FD3721">
      <w:pPr>
        <w:pStyle w:val="BodyText"/>
        <w:spacing w:before="1"/>
      </w:pPr>
    </w:p>
    <w:p w:rsidR="00FD3721" w:rsidRDefault="00F42D8E">
      <w:pPr>
        <w:pStyle w:val="BodyText"/>
        <w:ind w:left="1440" w:right="8" w:firstLine="1"/>
        <w:jc w:val="both"/>
      </w:pPr>
      <w:r>
        <w:t xml:space="preserve">‐ For </w:t>
      </w:r>
      <w:r>
        <w:rPr>
          <w:u w:val="single"/>
        </w:rPr>
        <w:t>utility solution</w:t>
      </w:r>
      <w:r>
        <w:t xml:space="preserve"> applications, a request for substantive examination together with examination fees must be filed within </w:t>
      </w:r>
      <w:r>
        <w:rPr>
          <w:b/>
        </w:rPr>
        <w:t xml:space="preserve">36 months </w:t>
      </w:r>
      <w:r>
        <w:t>from the earliest priority date;</w:t>
      </w:r>
    </w:p>
    <w:p w:rsidR="00FD3721" w:rsidRDefault="00F42D8E">
      <w:pPr>
        <w:pStyle w:val="BodyText"/>
        <w:spacing w:before="268"/>
        <w:ind w:left="1441" w:right="5" w:hanging="1"/>
        <w:jc w:val="both"/>
      </w:pPr>
      <w:r>
        <w:t xml:space="preserve">‐ It is </w:t>
      </w:r>
      <w:r>
        <w:rPr>
          <w:b/>
        </w:rPr>
        <w:t xml:space="preserve">impossible </w:t>
      </w:r>
      <w:r>
        <w:t>to extend the deadline unless the delay is caused by force majeure (wars, natural disasters, accidents...).</w:t>
      </w:r>
    </w:p>
    <w:p w:rsidR="00FD3721" w:rsidRDefault="00FD3721">
      <w:pPr>
        <w:pStyle w:val="BodyText"/>
      </w:pPr>
    </w:p>
    <w:p w:rsidR="00FD3721" w:rsidRDefault="00F42D8E">
      <w:pPr>
        <w:pStyle w:val="BodyText"/>
        <w:ind w:left="1440" w:right="8"/>
        <w:jc w:val="both"/>
      </w:pPr>
      <w:r>
        <w:t xml:space="preserve">‐ Under the regulations, the substantive examination period is </w:t>
      </w:r>
      <w:r>
        <w:rPr>
          <w:b/>
        </w:rPr>
        <w:t xml:space="preserve">18 months </w:t>
      </w:r>
      <w:r>
        <w:t>from either (i) the publication date (if the request for substantive examination is filed before the publication date), or (ii) the request date (if the request is filed after the publication date). However, this period is often delayed in reality.</w:t>
      </w:r>
    </w:p>
    <w:p w:rsidR="00FD3721" w:rsidRDefault="00FD3721">
      <w:pPr>
        <w:pStyle w:val="BodyText"/>
      </w:pPr>
    </w:p>
    <w:p w:rsidR="00FD3721" w:rsidRDefault="00F42D8E">
      <w:pPr>
        <w:pStyle w:val="BodyText"/>
        <w:ind w:left="1440" w:right="8"/>
        <w:jc w:val="both"/>
      </w:pPr>
      <w:r>
        <w:t>‐ Vietnamese examiners often rely on the examination outcomes of large patent offices, such as the USPTO, EPO, JPO, KIPO, SIPO, etc., of the equivalent applications when examining Vietnamese applications. Thus, to accelerate the examination process, you are advised to inform us of equivalent patents once they are granted.</w:t>
      </w:r>
    </w:p>
    <w:p w:rsidR="00FD3721" w:rsidRDefault="00FD3721">
      <w:pPr>
        <w:pStyle w:val="BodyText"/>
        <w:jc w:val="both"/>
        <w:sectPr w:rsidR="00FD3721">
          <w:pgSz w:w="11910" w:h="16840"/>
          <w:pgMar w:top="1820" w:right="1133" w:bottom="780" w:left="850" w:header="569" w:footer="600" w:gutter="0"/>
          <w:cols w:space="720"/>
        </w:sectPr>
      </w:pPr>
    </w:p>
    <w:p w:rsidR="00FD3721" w:rsidRDefault="00FD3721">
      <w:pPr>
        <w:pStyle w:val="BodyText"/>
        <w:spacing w:before="45"/>
      </w:pPr>
    </w:p>
    <w:p w:rsidR="00FD3721" w:rsidRDefault="00F42D8E">
      <w:pPr>
        <w:pStyle w:val="Heading1"/>
        <w:ind w:left="720"/>
      </w:pPr>
      <w:r>
        <w:rPr>
          <w:spacing w:val="-2"/>
        </w:rPr>
        <w:t>Annuities</w:t>
      </w:r>
    </w:p>
    <w:p w:rsidR="00FD3721" w:rsidRDefault="00F42D8E">
      <w:pPr>
        <w:pStyle w:val="BodyText"/>
        <w:spacing w:before="268"/>
        <w:ind w:left="1440"/>
        <w:rPr>
          <w:b/>
        </w:rPr>
      </w:pPr>
      <w:r>
        <w:t>‐</w:t>
      </w:r>
      <w:r>
        <w:rPr>
          <w:spacing w:val="-5"/>
        </w:rPr>
        <w:t xml:space="preserve"> </w:t>
      </w:r>
      <w:r>
        <w:t>The</w:t>
      </w:r>
      <w:r>
        <w:rPr>
          <w:spacing w:val="-5"/>
        </w:rPr>
        <w:t xml:space="preserve"> </w:t>
      </w:r>
      <w:r>
        <w:t>validity</w:t>
      </w:r>
      <w:r>
        <w:rPr>
          <w:spacing w:val="-4"/>
        </w:rPr>
        <w:t xml:space="preserve"> </w:t>
      </w:r>
      <w:r>
        <w:t>term</w:t>
      </w:r>
      <w:r>
        <w:rPr>
          <w:spacing w:val="-5"/>
        </w:rPr>
        <w:t xml:space="preserve"> </w:t>
      </w:r>
      <w:r>
        <w:t>of</w:t>
      </w:r>
      <w:r>
        <w:rPr>
          <w:spacing w:val="-5"/>
        </w:rPr>
        <w:t xml:space="preserve"> </w:t>
      </w:r>
      <w:r>
        <w:t>an</w:t>
      </w:r>
      <w:r>
        <w:rPr>
          <w:spacing w:val="-5"/>
        </w:rPr>
        <w:t xml:space="preserve"> </w:t>
      </w:r>
      <w:r>
        <w:t>Invention</w:t>
      </w:r>
      <w:r>
        <w:rPr>
          <w:spacing w:val="-4"/>
        </w:rPr>
        <w:t xml:space="preserve"> </w:t>
      </w:r>
      <w:r>
        <w:t>Patent</w:t>
      </w:r>
      <w:r>
        <w:rPr>
          <w:spacing w:val="-4"/>
        </w:rPr>
        <w:t xml:space="preserve"> </w:t>
      </w:r>
      <w:r>
        <w:t>is</w:t>
      </w:r>
      <w:r>
        <w:rPr>
          <w:spacing w:val="-4"/>
        </w:rPr>
        <w:t xml:space="preserve"> </w:t>
      </w:r>
      <w:r>
        <w:rPr>
          <w:b/>
        </w:rPr>
        <w:t>20</w:t>
      </w:r>
      <w:r>
        <w:rPr>
          <w:b/>
          <w:spacing w:val="-5"/>
        </w:rPr>
        <w:t xml:space="preserve"> </w:t>
      </w:r>
      <w:r>
        <w:rPr>
          <w:b/>
        </w:rPr>
        <w:t>years</w:t>
      </w:r>
      <w:r>
        <w:rPr>
          <w:b/>
          <w:spacing w:val="-5"/>
        </w:rPr>
        <w:t xml:space="preserve"> </w:t>
      </w:r>
      <w:r>
        <w:t>and</w:t>
      </w:r>
      <w:r>
        <w:rPr>
          <w:spacing w:val="-5"/>
        </w:rPr>
        <w:t xml:space="preserve"> </w:t>
      </w:r>
      <w:r>
        <w:t>of</w:t>
      </w:r>
      <w:r>
        <w:rPr>
          <w:spacing w:val="-5"/>
        </w:rPr>
        <w:t xml:space="preserve"> </w:t>
      </w:r>
      <w:r>
        <w:t>a</w:t>
      </w:r>
      <w:r>
        <w:rPr>
          <w:spacing w:val="-4"/>
        </w:rPr>
        <w:t xml:space="preserve"> </w:t>
      </w:r>
      <w:r>
        <w:t>Utility</w:t>
      </w:r>
      <w:r>
        <w:rPr>
          <w:spacing w:val="-4"/>
        </w:rPr>
        <w:t xml:space="preserve"> </w:t>
      </w:r>
      <w:r>
        <w:t>Solution</w:t>
      </w:r>
      <w:r>
        <w:rPr>
          <w:spacing w:val="-5"/>
        </w:rPr>
        <w:t xml:space="preserve"> </w:t>
      </w:r>
      <w:r>
        <w:t>Patent</w:t>
      </w:r>
      <w:r>
        <w:rPr>
          <w:spacing w:val="-5"/>
        </w:rPr>
        <w:t xml:space="preserve"> </w:t>
      </w:r>
      <w:r>
        <w:t>is</w:t>
      </w:r>
      <w:r>
        <w:rPr>
          <w:spacing w:val="-4"/>
        </w:rPr>
        <w:t xml:space="preserve"> </w:t>
      </w:r>
      <w:r>
        <w:rPr>
          <w:b/>
        </w:rPr>
        <w:t>10</w:t>
      </w:r>
      <w:r>
        <w:rPr>
          <w:b/>
          <w:spacing w:val="-5"/>
        </w:rPr>
        <w:t xml:space="preserve"> </w:t>
      </w:r>
      <w:r>
        <w:rPr>
          <w:b/>
          <w:spacing w:val="-2"/>
        </w:rPr>
        <w:t>years</w:t>
      </w:r>
    </w:p>
    <w:p w:rsidR="00FD3721" w:rsidRDefault="00F42D8E">
      <w:pPr>
        <w:pStyle w:val="BodyText"/>
        <w:ind w:left="1441"/>
      </w:pPr>
      <w:r>
        <w:t>from</w:t>
      </w:r>
      <w:r>
        <w:rPr>
          <w:spacing w:val="-6"/>
        </w:rPr>
        <w:t xml:space="preserve"> </w:t>
      </w:r>
      <w:r>
        <w:t>the</w:t>
      </w:r>
      <w:r>
        <w:rPr>
          <w:spacing w:val="-6"/>
        </w:rPr>
        <w:t xml:space="preserve"> </w:t>
      </w:r>
      <w:r>
        <w:t>regular</w:t>
      </w:r>
      <w:r>
        <w:rPr>
          <w:spacing w:val="-6"/>
        </w:rPr>
        <w:t xml:space="preserve"> </w:t>
      </w:r>
      <w:r>
        <w:t>filing</w:t>
      </w:r>
      <w:r>
        <w:rPr>
          <w:spacing w:val="-5"/>
        </w:rPr>
        <w:t xml:space="preserve"> </w:t>
      </w:r>
      <w:r>
        <w:rPr>
          <w:spacing w:val="-2"/>
        </w:rPr>
        <w:t>date;</w:t>
      </w:r>
    </w:p>
    <w:p w:rsidR="00FD3721" w:rsidRDefault="00FD3721">
      <w:pPr>
        <w:pStyle w:val="BodyText"/>
        <w:spacing w:before="1"/>
      </w:pPr>
    </w:p>
    <w:p w:rsidR="00FD3721" w:rsidRDefault="00F42D8E">
      <w:pPr>
        <w:pStyle w:val="BodyText"/>
        <w:ind w:left="1441"/>
      </w:pPr>
      <w:r>
        <w:t>‐</w:t>
      </w:r>
      <w:r>
        <w:rPr>
          <w:spacing w:val="-6"/>
        </w:rPr>
        <w:t xml:space="preserve"> </w:t>
      </w:r>
      <w:r>
        <w:t>Annuity</w:t>
      </w:r>
      <w:r>
        <w:rPr>
          <w:spacing w:val="-4"/>
        </w:rPr>
        <w:t xml:space="preserve"> </w:t>
      </w:r>
      <w:r>
        <w:t>is</w:t>
      </w:r>
      <w:r>
        <w:rPr>
          <w:spacing w:val="-5"/>
        </w:rPr>
        <w:t xml:space="preserve"> </w:t>
      </w:r>
      <w:r>
        <w:t>required</w:t>
      </w:r>
      <w:r>
        <w:rPr>
          <w:spacing w:val="-4"/>
        </w:rPr>
        <w:t xml:space="preserve"> </w:t>
      </w:r>
      <w:r>
        <w:t>to</w:t>
      </w:r>
      <w:r>
        <w:rPr>
          <w:spacing w:val="-4"/>
        </w:rPr>
        <w:t xml:space="preserve"> </w:t>
      </w:r>
      <w:r>
        <w:t>be</w:t>
      </w:r>
      <w:r>
        <w:rPr>
          <w:spacing w:val="-4"/>
        </w:rPr>
        <w:t xml:space="preserve"> </w:t>
      </w:r>
      <w:r>
        <w:t>paid</w:t>
      </w:r>
      <w:r>
        <w:rPr>
          <w:spacing w:val="-6"/>
        </w:rPr>
        <w:t xml:space="preserve"> </w:t>
      </w:r>
      <w:r>
        <w:t>only</w:t>
      </w:r>
      <w:r>
        <w:rPr>
          <w:spacing w:val="-4"/>
        </w:rPr>
        <w:t xml:space="preserve"> </w:t>
      </w:r>
      <w:r>
        <w:t>after</w:t>
      </w:r>
      <w:r>
        <w:rPr>
          <w:spacing w:val="-5"/>
        </w:rPr>
        <w:t xml:space="preserve"> </w:t>
      </w:r>
      <w:r>
        <w:t>a</w:t>
      </w:r>
      <w:r>
        <w:rPr>
          <w:spacing w:val="-6"/>
        </w:rPr>
        <w:t xml:space="preserve"> </w:t>
      </w:r>
      <w:r>
        <w:t>Patent</w:t>
      </w:r>
      <w:r>
        <w:rPr>
          <w:spacing w:val="-6"/>
        </w:rPr>
        <w:t xml:space="preserve"> </w:t>
      </w:r>
      <w:r>
        <w:t>is</w:t>
      </w:r>
      <w:r>
        <w:rPr>
          <w:spacing w:val="-4"/>
        </w:rPr>
        <w:t xml:space="preserve"> </w:t>
      </w:r>
      <w:r>
        <w:rPr>
          <w:spacing w:val="-2"/>
        </w:rPr>
        <w:t>granted;</w:t>
      </w:r>
    </w:p>
    <w:p w:rsidR="00FD3721" w:rsidRDefault="00F42D8E">
      <w:pPr>
        <w:pStyle w:val="BodyText"/>
        <w:spacing w:before="268"/>
        <w:ind w:left="1440" w:firstLine="1"/>
      </w:pPr>
      <w:r>
        <w:t>‐</w:t>
      </w:r>
      <w:r>
        <w:rPr>
          <w:spacing w:val="65"/>
        </w:rPr>
        <w:t xml:space="preserve"> </w:t>
      </w:r>
      <w:r>
        <w:t>The</w:t>
      </w:r>
      <w:r>
        <w:rPr>
          <w:spacing w:val="64"/>
        </w:rPr>
        <w:t xml:space="preserve"> </w:t>
      </w:r>
      <w:r>
        <w:t>first</w:t>
      </w:r>
      <w:r>
        <w:rPr>
          <w:spacing w:val="64"/>
        </w:rPr>
        <w:t xml:space="preserve"> </w:t>
      </w:r>
      <w:r>
        <w:t>annuity</w:t>
      </w:r>
      <w:r>
        <w:rPr>
          <w:spacing w:val="66"/>
        </w:rPr>
        <w:t xml:space="preserve"> </w:t>
      </w:r>
      <w:r>
        <w:t>is</w:t>
      </w:r>
      <w:r>
        <w:rPr>
          <w:spacing w:val="65"/>
        </w:rPr>
        <w:t xml:space="preserve"> </w:t>
      </w:r>
      <w:r>
        <w:t>paid</w:t>
      </w:r>
      <w:r>
        <w:rPr>
          <w:spacing w:val="65"/>
        </w:rPr>
        <w:t xml:space="preserve"> </w:t>
      </w:r>
      <w:r>
        <w:t>together</w:t>
      </w:r>
      <w:r>
        <w:rPr>
          <w:spacing w:val="66"/>
        </w:rPr>
        <w:t xml:space="preserve"> </w:t>
      </w:r>
      <w:r>
        <w:t>with</w:t>
      </w:r>
      <w:r>
        <w:rPr>
          <w:spacing w:val="65"/>
        </w:rPr>
        <w:t xml:space="preserve"> </w:t>
      </w:r>
      <w:r>
        <w:t>granting</w:t>
      </w:r>
      <w:r>
        <w:rPr>
          <w:spacing w:val="65"/>
        </w:rPr>
        <w:t xml:space="preserve"> </w:t>
      </w:r>
      <w:r>
        <w:t>fees.</w:t>
      </w:r>
      <w:r>
        <w:rPr>
          <w:spacing w:val="65"/>
        </w:rPr>
        <w:t xml:space="preserve"> </w:t>
      </w:r>
      <w:r>
        <w:t>Next</w:t>
      </w:r>
      <w:r>
        <w:rPr>
          <w:spacing w:val="65"/>
        </w:rPr>
        <w:t xml:space="preserve"> </w:t>
      </w:r>
      <w:r>
        <w:t>annuities</w:t>
      </w:r>
      <w:r>
        <w:rPr>
          <w:spacing w:val="66"/>
        </w:rPr>
        <w:t xml:space="preserve"> </w:t>
      </w:r>
      <w:r>
        <w:t>are</w:t>
      </w:r>
      <w:r>
        <w:rPr>
          <w:spacing w:val="64"/>
        </w:rPr>
        <w:t xml:space="preserve"> </w:t>
      </w:r>
      <w:r>
        <w:t>due</w:t>
      </w:r>
      <w:r>
        <w:rPr>
          <w:spacing w:val="64"/>
        </w:rPr>
        <w:t xml:space="preserve"> </w:t>
      </w:r>
      <w:r>
        <w:t>on</w:t>
      </w:r>
      <w:r>
        <w:rPr>
          <w:spacing w:val="66"/>
        </w:rPr>
        <w:t xml:space="preserve"> </w:t>
      </w:r>
      <w:r>
        <w:t>the anniversary of the granting date;</w:t>
      </w:r>
    </w:p>
    <w:p w:rsidR="00FD3721" w:rsidRDefault="00FD3721">
      <w:pPr>
        <w:pStyle w:val="BodyText"/>
      </w:pPr>
    </w:p>
    <w:p w:rsidR="00FD3721" w:rsidRDefault="00F42D8E">
      <w:pPr>
        <w:pStyle w:val="BodyText"/>
        <w:ind w:left="1442" w:hanging="2"/>
      </w:pPr>
      <w:r>
        <w:t xml:space="preserve">‐ A grace period of </w:t>
      </w:r>
      <w:r>
        <w:rPr>
          <w:b/>
        </w:rPr>
        <w:t xml:space="preserve">6 months </w:t>
      </w:r>
      <w:r>
        <w:t>is available with a surcharge of 10% of the fees for each month</w:t>
      </w:r>
      <w:r>
        <w:rPr>
          <w:spacing w:val="40"/>
        </w:rPr>
        <w:t xml:space="preserve"> </w:t>
      </w:r>
      <w:r>
        <w:rPr>
          <w:spacing w:val="-2"/>
        </w:rPr>
        <w:t>late;</w:t>
      </w:r>
    </w:p>
    <w:p w:rsidR="00FD3721" w:rsidRDefault="00FD3721">
      <w:pPr>
        <w:pStyle w:val="BodyText"/>
      </w:pPr>
    </w:p>
    <w:p w:rsidR="00FD3721" w:rsidRDefault="00F42D8E">
      <w:pPr>
        <w:pStyle w:val="BodyText"/>
        <w:ind w:left="1441"/>
      </w:pPr>
      <w:r>
        <w:t>‐</w:t>
      </w:r>
      <w:r>
        <w:rPr>
          <w:spacing w:val="40"/>
        </w:rPr>
        <w:t xml:space="preserve"> </w:t>
      </w:r>
      <w:r>
        <w:t>Unless</w:t>
      </w:r>
      <w:r>
        <w:rPr>
          <w:spacing w:val="40"/>
        </w:rPr>
        <w:t xml:space="preserve"> </w:t>
      </w:r>
      <w:r>
        <w:t>otherwise</w:t>
      </w:r>
      <w:r>
        <w:rPr>
          <w:spacing w:val="40"/>
        </w:rPr>
        <w:t xml:space="preserve"> </w:t>
      </w:r>
      <w:r>
        <w:t>instructed,</w:t>
      </w:r>
      <w:r>
        <w:rPr>
          <w:spacing w:val="40"/>
        </w:rPr>
        <w:t xml:space="preserve"> </w:t>
      </w:r>
      <w:r>
        <w:t>we</w:t>
      </w:r>
      <w:r>
        <w:rPr>
          <w:spacing w:val="40"/>
        </w:rPr>
        <w:t xml:space="preserve"> </w:t>
      </w:r>
      <w:r>
        <w:t>will</w:t>
      </w:r>
      <w:r>
        <w:rPr>
          <w:spacing w:val="40"/>
        </w:rPr>
        <w:t xml:space="preserve"> </w:t>
      </w:r>
      <w:r>
        <w:t>send</w:t>
      </w:r>
      <w:r>
        <w:rPr>
          <w:spacing w:val="40"/>
        </w:rPr>
        <w:t xml:space="preserve"> </w:t>
      </w:r>
      <w:r>
        <w:t>reminders</w:t>
      </w:r>
      <w:r>
        <w:rPr>
          <w:spacing w:val="40"/>
        </w:rPr>
        <w:t xml:space="preserve"> </w:t>
      </w:r>
      <w:r>
        <w:t>for</w:t>
      </w:r>
      <w:r>
        <w:rPr>
          <w:spacing w:val="40"/>
        </w:rPr>
        <w:t xml:space="preserve"> </w:t>
      </w:r>
      <w:r>
        <w:t>payment</w:t>
      </w:r>
      <w:r>
        <w:rPr>
          <w:spacing w:val="40"/>
        </w:rPr>
        <w:t xml:space="preserve"> </w:t>
      </w:r>
      <w:r>
        <w:t>of</w:t>
      </w:r>
      <w:r>
        <w:rPr>
          <w:spacing w:val="40"/>
        </w:rPr>
        <w:t xml:space="preserve"> </w:t>
      </w:r>
      <w:r>
        <w:t>annuities</w:t>
      </w:r>
      <w:r>
        <w:rPr>
          <w:spacing w:val="40"/>
        </w:rPr>
        <w:t xml:space="preserve"> </w:t>
      </w:r>
      <w:r>
        <w:t>around</w:t>
      </w:r>
      <w:r>
        <w:rPr>
          <w:spacing w:val="40"/>
        </w:rPr>
        <w:t xml:space="preserve"> </w:t>
      </w:r>
      <w:r>
        <w:t>2 months prior to the deadlines.</w:t>
      </w:r>
    </w:p>
    <w:sectPr w:rsidR="00FD3721">
      <w:pgSz w:w="11910" w:h="16840"/>
      <w:pgMar w:top="1820" w:right="1133" w:bottom="780" w:left="850" w:header="569" w:footer="6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840" w:rsidRDefault="00050840">
      <w:r>
        <w:separator/>
      </w:r>
    </w:p>
  </w:endnote>
  <w:endnote w:type="continuationSeparator" w:id="0">
    <w:p w:rsidR="00050840" w:rsidRDefault="00050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721" w:rsidRDefault="00F42D8E">
    <w:pPr>
      <w:pStyle w:val="BodyText"/>
      <w:spacing w:line="14" w:lineRule="auto"/>
      <w:rPr>
        <w:sz w:val="20"/>
      </w:rPr>
    </w:pPr>
    <w:r>
      <w:rPr>
        <w:noProof/>
        <w:sz w:val="20"/>
      </w:rPr>
      <mc:AlternateContent>
        <mc:Choice Requires="wps">
          <w:drawing>
            <wp:anchor distT="0" distB="0" distL="0" distR="0" simplePos="0" relativeHeight="487500800" behindDoc="1" locked="0" layoutInCell="1" allowOverlap="1" wp14:anchorId="37B8BB58" wp14:editId="44F7F2AA">
              <wp:simplePos x="0" y="0"/>
              <wp:positionH relativeFrom="page">
                <wp:posOffset>3704082</wp:posOffset>
              </wp:positionH>
              <wp:positionV relativeFrom="page">
                <wp:posOffset>10172851</wp:posOffset>
              </wp:positionV>
              <wp:extent cx="165100"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77800"/>
                      </a:xfrm>
                      <a:prstGeom prst="rect">
                        <a:avLst/>
                      </a:prstGeom>
                    </wps:spPr>
                    <wps:txbx>
                      <w:txbxContent>
                        <w:p w:rsidR="00FD3721" w:rsidRDefault="00F42D8E">
                          <w:pPr>
                            <w:spacing w:line="252" w:lineRule="exact"/>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sidR="00EC5BB7">
                            <w:rPr>
                              <w:rFonts w:ascii="Times New Roman"/>
                              <w:noProof/>
                              <w:spacing w:val="-10"/>
                              <w:sz w:val="24"/>
                            </w:rPr>
                            <w:t>2</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291.65pt;margin-top:801pt;width:13pt;height:14pt;z-index:-1581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" filled="f" stroked="f">
              <v:path arrowok="t"/>
              <v:textbox inset="0,0,0,0">
                <w:txbxContent>
                  <w:p w:rsidR="00FD3721" w:rsidRDefault="00F42D8E">
                    <w:pPr>
                      <w:spacing w:line="252" w:lineRule="exact"/>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sidR="00EC5BB7">
                      <w:rPr>
                        <w:rFonts w:ascii="Times New Roman"/>
                        <w:noProof/>
                        <w:spacing w:val="-10"/>
                        <w:sz w:val="24"/>
                      </w:rPr>
                      <w:t>2</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840" w:rsidRDefault="00050840">
      <w:r>
        <w:separator/>
      </w:r>
    </w:p>
  </w:footnote>
  <w:footnote w:type="continuationSeparator" w:id="0">
    <w:p w:rsidR="00050840" w:rsidRDefault="000508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721" w:rsidRDefault="00A113F1" w:rsidP="007256E7">
    <w:pPr>
      <w:pStyle w:val="BodyText"/>
      <w:spacing w:line="14" w:lineRule="auto"/>
      <w:rPr>
        <w:sz w:val="20"/>
      </w:rPr>
    </w:pPr>
    <w:r>
      <w:rPr>
        <w:noProof/>
        <w:sz w:val="20"/>
      </w:rPr>
      <w:drawing>
        <wp:inline distT="0" distB="0" distL="0" distR="0" wp14:anchorId="1443ED70" wp14:editId="0CF896AA">
          <wp:extent cx="6639339" cy="10170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T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35141" cy="101641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85F5F"/>
    <w:multiLevelType w:val="hybridMultilevel"/>
    <w:tmpl w:val="1FFC5A7E"/>
    <w:lvl w:ilvl="0" w:tplc="F2568B8C">
      <w:start w:val="1"/>
      <w:numFmt w:val="decimal"/>
      <w:lvlText w:val="%1."/>
      <w:lvlJc w:val="left"/>
      <w:pPr>
        <w:tabs>
          <w:tab w:val="num" w:pos="720"/>
        </w:tabs>
        <w:ind w:left="720" w:hanging="360"/>
      </w:pPr>
    </w:lvl>
    <w:lvl w:ilvl="1" w:tplc="05D07066">
      <w:start w:val="1"/>
      <w:numFmt w:val="decimal"/>
      <w:lvlText w:val="%2."/>
      <w:lvlJc w:val="left"/>
      <w:pPr>
        <w:tabs>
          <w:tab w:val="num" w:pos="1440"/>
        </w:tabs>
        <w:ind w:left="1440" w:hanging="360"/>
      </w:pPr>
    </w:lvl>
    <w:lvl w:ilvl="2" w:tplc="8FEE3324">
      <w:start w:val="1"/>
      <w:numFmt w:val="decimal"/>
      <w:lvlText w:val="%3."/>
      <w:lvlJc w:val="left"/>
      <w:pPr>
        <w:tabs>
          <w:tab w:val="num" w:pos="2160"/>
        </w:tabs>
        <w:ind w:left="2160" w:hanging="360"/>
      </w:pPr>
    </w:lvl>
    <w:lvl w:ilvl="3" w:tplc="40C2DCD2">
      <w:start w:val="1"/>
      <w:numFmt w:val="decimal"/>
      <w:lvlText w:val="%4."/>
      <w:lvlJc w:val="left"/>
      <w:pPr>
        <w:tabs>
          <w:tab w:val="num" w:pos="2880"/>
        </w:tabs>
        <w:ind w:left="2880" w:hanging="360"/>
      </w:pPr>
    </w:lvl>
    <w:lvl w:ilvl="4" w:tplc="244022E0">
      <w:start w:val="1"/>
      <w:numFmt w:val="decimal"/>
      <w:lvlText w:val="%5."/>
      <w:lvlJc w:val="left"/>
      <w:pPr>
        <w:tabs>
          <w:tab w:val="num" w:pos="3600"/>
        </w:tabs>
        <w:ind w:left="3600" w:hanging="360"/>
      </w:pPr>
    </w:lvl>
    <w:lvl w:ilvl="5" w:tplc="4F8AEFC0">
      <w:start w:val="1"/>
      <w:numFmt w:val="decimal"/>
      <w:lvlText w:val="%6."/>
      <w:lvlJc w:val="left"/>
      <w:pPr>
        <w:tabs>
          <w:tab w:val="num" w:pos="4320"/>
        </w:tabs>
        <w:ind w:left="4320" w:hanging="360"/>
      </w:pPr>
    </w:lvl>
    <w:lvl w:ilvl="6" w:tplc="30E8C112">
      <w:start w:val="1"/>
      <w:numFmt w:val="decimal"/>
      <w:lvlText w:val="%7."/>
      <w:lvlJc w:val="left"/>
      <w:pPr>
        <w:tabs>
          <w:tab w:val="num" w:pos="5040"/>
        </w:tabs>
        <w:ind w:left="5040" w:hanging="360"/>
      </w:pPr>
    </w:lvl>
    <w:lvl w:ilvl="7" w:tplc="7E1EDB8C">
      <w:start w:val="1"/>
      <w:numFmt w:val="decimal"/>
      <w:lvlText w:val="%8."/>
      <w:lvlJc w:val="left"/>
      <w:pPr>
        <w:tabs>
          <w:tab w:val="num" w:pos="5760"/>
        </w:tabs>
        <w:ind w:left="5760" w:hanging="360"/>
      </w:pPr>
    </w:lvl>
    <w:lvl w:ilvl="8" w:tplc="326E23FE">
      <w:start w:val="1"/>
      <w:numFmt w:val="decimal"/>
      <w:lvlText w:val="%9."/>
      <w:lvlJc w:val="left"/>
      <w:pPr>
        <w:tabs>
          <w:tab w:val="num" w:pos="6480"/>
        </w:tabs>
        <w:ind w:left="6480" w:hanging="360"/>
      </w:pPr>
    </w:lvl>
  </w:abstractNum>
  <w:abstractNum w:abstractNumId="1">
    <w:nsid w:val="0A883475"/>
    <w:multiLevelType w:val="hybridMultilevel"/>
    <w:tmpl w:val="4382388A"/>
    <w:lvl w:ilvl="0" w:tplc="817CDCEA">
      <w:start w:val="1"/>
      <w:numFmt w:val="upperLetter"/>
      <w:lvlText w:val="%1."/>
      <w:lvlJc w:val="left"/>
      <w:pPr>
        <w:ind w:left="242" w:hanging="242"/>
        <w:jc w:val="left"/>
      </w:pPr>
      <w:rPr>
        <w:rFonts w:ascii="Calibri" w:eastAsia="Calibri" w:hAnsi="Calibri" w:cs="Calibri" w:hint="default"/>
        <w:b/>
        <w:bCs/>
        <w:i w:val="0"/>
        <w:iCs w:val="0"/>
        <w:spacing w:val="0"/>
        <w:w w:val="99"/>
        <w:sz w:val="22"/>
        <w:szCs w:val="22"/>
        <w:lang w:val="en-US" w:eastAsia="en-US" w:bidi="ar-SA"/>
      </w:rPr>
    </w:lvl>
    <w:lvl w:ilvl="1" w:tplc="AC30318A">
      <w:start w:val="1"/>
      <w:numFmt w:val="decimal"/>
      <w:lvlText w:val="%2."/>
      <w:lvlJc w:val="left"/>
      <w:pPr>
        <w:ind w:left="1081" w:hanging="361"/>
        <w:jc w:val="left"/>
      </w:pPr>
      <w:rPr>
        <w:rFonts w:ascii="Calibri" w:eastAsia="Calibri" w:hAnsi="Calibri" w:cs="Calibri" w:hint="default"/>
        <w:b w:val="0"/>
        <w:bCs w:val="0"/>
        <w:i w:val="0"/>
        <w:iCs w:val="0"/>
        <w:spacing w:val="0"/>
        <w:w w:val="99"/>
        <w:sz w:val="22"/>
        <w:szCs w:val="22"/>
        <w:lang w:val="en-US" w:eastAsia="en-US" w:bidi="ar-SA"/>
      </w:rPr>
    </w:lvl>
    <w:lvl w:ilvl="2" w:tplc="D83ACA72">
      <w:numFmt w:val="bullet"/>
      <w:lvlText w:val="•"/>
      <w:lvlJc w:val="left"/>
      <w:pPr>
        <w:ind w:left="2062" w:hanging="361"/>
      </w:pPr>
      <w:rPr>
        <w:rFonts w:hint="default"/>
        <w:lang w:val="en-US" w:eastAsia="en-US" w:bidi="ar-SA"/>
      </w:rPr>
    </w:lvl>
    <w:lvl w:ilvl="3" w:tplc="178A590A">
      <w:numFmt w:val="bullet"/>
      <w:lvlText w:val="•"/>
      <w:lvlJc w:val="left"/>
      <w:pPr>
        <w:ind w:left="3044" w:hanging="361"/>
      </w:pPr>
      <w:rPr>
        <w:rFonts w:hint="default"/>
        <w:lang w:val="en-US" w:eastAsia="en-US" w:bidi="ar-SA"/>
      </w:rPr>
    </w:lvl>
    <w:lvl w:ilvl="4" w:tplc="48184EA8">
      <w:numFmt w:val="bullet"/>
      <w:lvlText w:val="•"/>
      <w:lvlJc w:val="left"/>
      <w:pPr>
        <w:ind w:left="4027" w:hanging="361"/>
      </w:pPr>
      <w:rPr>
        <w:rFonts w:hint="default"/>
        <w:lang w:val="en-US" w:eastAsia="en-US" w:bidi="ar-SA"/>
      </w:rPr>
    </w:lvl>
    <w:lvl w:ilvl="5" w:tplc="EC80A450">
      <w:numFmt w:val="bullet"/>
      <w:lvlText w:val="•"/>
      <w:lvlJc w:val="left"/>
      <w:pPr>
        <w:ind w:left="5009" w:hanging="361"/>
      </w:pPr>
      <w:rPr>
        <w:rFonts w:hint="default"/>
        <w:lang w:val="en-US" w:eastAsia="en-US" w:bidi="ar-SA"/>
      </w:rPr>
    </w:lvl>
    <w:lvl w:ilvl="6" w:tplc="126641F4">
      <w:numFmt w:val="bullet"/>
      <w:lvlText w:val="•"/>
      <w:lvlJc w:val="left"/>
      <w:pPr>
        <w:ind w:left="5991" w:hanging="361"/>
      </w:pPr>
      <w:rPr>
        <w:rFonts w:hint="default"/>
        <w:lang w:val="en-US" w:eastAsia="en-US" w:bidi="ar-SA"/>
      </w:rPr>
    </w:lvl>
    <w:lvl w:ilvl="7" w:tplc="8A1E1B2C">
      <w:numFmt w:val="bullet"/>
      <w:lvlText w:val="•"/>
      <w:lvlJc w:val="left"/>
      <w:pPr>
        <w:ind w:left="6974" w:hanging="361"/>
      </w:pPr>
      <w:rPr>
        <w:rFonts w:hint="default"/>
        <w:lang w:val="en-US" w:eastAsia="en-US" w:bidi="ar-SA"/>
      </w:rPr>
    </w:lvl>
    <w:lvl w:ilvl="8" w:tplc="AF84E0B0">
      <w:numFmt w:val="bullet"/>
      <w:lvlText w:val="•"/>
      <w:lvlJc w:val="left"/>
      <w:pPr>
        <w:ind w:left="7956" w:hanging="361"/>
      </w:pPr>
      <w:rPr>
        <w:rFonts w:hint="default"/>
        <w:lang w:val="en-US" w:eastAsia="en-US" w:bidi="ar-SA"/>
      </w:rPr>
    </w:lvl>
  </w:abstractNum>
  <w:abstractNum w:abstractNumId="2">
    <w:nsid w:val="0D603DCC"/>
    <w:multiLevelType w:val="hybridMultilevel"/>
    <w:tmpl w:val="51801A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FC15CF7"/>
    <w:multiLevelType w:val="hybridMultilevel"/>
    <w:tmpl w:val="924E5754"/>
    <w:lvl w:ilvl="0" w:tplc="9DC660E2">
      <w:start w:val="1"/>
      <w:numFmt w:val="decimal"/>
      <w:lvlText w:val="%1."/>
      <w:lvlJc w:val="left"/>
      <w:pPr>
        <w:ind w:left="1081" w:hanging="361"/>
        <w:jc w:val="left"/>
      </w:pPr>
      <w:rPr>
        <w:rFonts w:ascii="Calibri" w:eastAsia="Calibri" w:hAnsi="Calibri" w:cs="Calibri" w:hint="default"/>
        <w:b w:val="0"/>
        <w:bCs w:val="0"/>
        <w:i w:val="0"/>
        <w:iCs w:val="0"/>
        <w:spacing w:val="0"/>
        <w:w w:val="99"/>
        <w:sz w:val="22"/>
        <w:szCs w:val="22"/>
        <w:lang w:val="en-US" w:eastAsia="en-US" w:bidi="ar-SA"/>
      </w:rPr>
    </w:lvl>
    <w:lvl w:ilvl="1" w:tplc="1994963A">
      <w:numFmt w:val="bullet"/>
      <w:lvlText w:val="•"/>
      <w:lvlJc w:val="left"/>
      <w:pPr>
        <w:ind w:left="1964" w:hanging="361"/>
      </w:pPr>
      <w:rPr>
        <w:rFonts w:hint="default"/>
        <w:lang w:val="en-US" w:eastAsia="en-US" w:bidi="ar-SA"/>
      </w:rPr>
    </w:lvl>
    <w:lvl w:ilvl="2" w:tplc="983E12A8">
      <w:numFmt w:val="bullet"/>
      <w:lvlText w:val="•"/>
      <w:lvlJc w:val="left"/>
      <w:pPr>
        <w:ind w:left="2848" w:hanging="361"/>
      </w:pPr>
      <w:rPr>
        <w:rFonts w:hint="default"/>
        <w:lang w:val="en-US" w:eastAsia="en-US" w:bidi="ar-SA"/>
      </w:rPr>
    </w:lvl>
    <w:lvl w:ilvl="3" w:tplc="0A6054AC">
      <w:numFmt w:val="bullet"/>
      <w:lvlText w:val="•"/>
      <w:lvlJc w:val="left"/>
      <w:pPr>
        <w:ind w:left="3732" w:hanging="361"/>
      </w:pPr>
      <w:rPr>
        <w:rFonts w:hint="default"/>
        <w:lang w:val="en-US" w:eastAsia="en-US" w:bidi="ar-SA"/>
      </w:rPr>
    </w:lvl>
    <w:lvl w:ilvl="4" w:tplc="CE02D176">
      <w:numFmt w:val="bullet"/>
      <w:lvlText w:val="•"/>
      <w:lvlJc w:val="left"/>
      <w:pPr>
        <w:ind w:left="4616" w:hanging="361"/>
      </w:pPr>
      <w:rPr>
        <w:rFonts w:hint="default"/>
        <w:lang w:val="en-US" w:eastAsia="en-US" w:bidi="ar-SA"/>
      </w:rPr>
    </w:lvl>
    <w:lvl w:ilvl="5" w:tplc="3E2EBA80">
      <w:numFmt w:val="bullet"/>
      <w:lvlText w:val="•"/>
      <w:lvlJc w:val="left"/>
      <w:pPr>
        <w:ind w:left="5500" w:hanging="361"/>
      </w:pPr>
      <w:rPr>
        <w:rFonts w:hint="default"/>
        <w:lang w:val="en-US" w:eastAsia="en-US" w:bidi="ar-SA"/>
      </w:rPr>
    </w:lvl>
    <w:lvl w:ilvl="6" w:tplc="4EBCE32C">
      <w:numFmt w:val="bullet"/>
      <w:lvlText w:val="•"/>
      <w:lvlJc w:val="left"/>
      <w:pPr>
        <w:ind w:left="6384" w:hanging="361"/>
      </w:pPr>
      <w:rPr>
        <w:rFonts w:hint="default"/>
        <w:lang w:val="en-US" w:eastAsia="en-US" w:bidi="ar-SA"/>
      </w:rPr>
    </w:lvl>
    <w:lvl w:ilvl="7" w:tplc="AA88B9E4">
      <w:numFmt w:val="bullet"/>
      <w:lvlText w:val="•"/>
      <w:lvlJc w:val="left"/>
      <w:pPr>
        <w:ind w:left="7268" w:hanging="361"/>
      </w:pPr>
      <w:rPr>
        <w:rFonts w:hint="default"/>
        <w:lang w:val="en-US" w:eastAsia="en-US" w:bidi="ar-SA"/>
      </w:rPr>
    </w:lvl>
    <w:lvl w:ilvl="8" w:tplc="D108B074">
      <w:numFmt w:val="bullet"/>
      <w:lvlText w:val="•"/>
      <w:lvlJc w:val="left"/>
      <w:pPr>
        <w:ind w:left="8153" w:hanging="361"/>
      </w:pPr>
      <w:rPr>
        <w:rFonts w:hint="default"/>
        <w:lang w:val="en-US" w:eastAsia="en-US" w:bidi="ar-SA"/>
      </w:rPr>
    </w:lvl>
  </w:abstractNum>
  <w:abstractNum w:abstractNumId="4">
    <w:nsid w:val="2CBC66AC"/>
    <w:multiLevelType w:val="hybridMultilevel"/>
    <w:tmpl w:val="561A9D66"/>
    <w:lvl w:ilvl="0" w:tplc="DA6033FE">
      <w:start w:val="1"/>
      <w:numFmt w:val="decimal"/>
      <w:lvlText w:val="%1."/>
      <w:lvlJc w:val="left"/>
      <w:pPr>
        <w:ind w:left="1080" w:hanging="361"/>
        <w:jc w:val="left"/>
      </w:pPr>
      <w:rPr>
        <w:rFonts w:ascii="Calibri" w:eastAsia="Calibri" w:hAnsi="Calibri" w:cs="Calibri" w:hint="default"/>
        <w:b w:val="0"/>
        <w:bCs w:val="0"/>
        <w:i w:val="0"/>
        <w:iCs w:val="0"/>
        <w:spacing w:val="0"/>
        <w:w w:val="99"/>
        <w:sz w:val="22"/>
        <w:szCs w:val="22"/>
        <w:lang w:val="en-US" w:eastAsia="en-US" w:bidi="ar-SA"/>
      </w:rPr>
    </w:lvl>
    <w:lvl w:ilvl="1" w:tplc="108E9296">
      <w:numFmt w:val="bullet"/>
      <w:lvlText w:val="•"/>
      <w:lvlJc w:val="left"/>
      <w:pPr>
        <w:ind w:left="1964" w:hanging="361"/>
      </w:pPr>
      <w:rPr>
        <w:rFonts w:hint="default"/>
        <w:lang w:val="en-US" w:eastAsia="en-US" w:bidi="ar-SA"/>
      </w:rPr>
    </w:lvl>
    <w:lvl w:ilvl="2" w:tplc="F286C89A">
      <w:numFmt w:val="bullet"/>
      <w:lvlText w:val="•"/>
      <w:lvlJc w:val="left"/>
      <w:pPr>
        <w:ind w:left="2848" w:hanging="361"/>
      </w:pPr>
      <w:rPr>
        <w:rFonts w:hint="default"/>
        <w:lang w:val="en-US" w:eastAsia="en-US" w:bidi="ar-SA"/>
      </w:rPr>
    </w:lvl>
    <w:lvl w:ilvl="3" w:tplc="494682CE">
      <w:numFmt w:val="bullet"/>
      <w:lvlText w:val="•"/>
      <w:lvlJc w:val="left"/>
      <w:pPr>
        <w:ind w:left="3732" w:hanging="361"/>
      </w:pPr>
      <w:rPr>
        <w:rFonts w:hint="default"/>
        <w:lang w:val="en-US" w:eastAsia="en-US" w:bidi="ar-SA"/>
      </w:rPr>
    </w:lvl>
    <w:lvl w:ilvl="4" w:tplc="AB52F4F8">
      <w:numFmt w:val="bullet"/>
      <w:lvlText w:val="•"/>
      <w:lvlJc w:val="left"/>
      <w:pPr>
        <w:ind w:left="4616" w:hanging="361"/>
      </w:pPr>
      <w:rPr>
        <w:rFonts w:hint="default"/>
        <w:lang w:val="en-US" w:eastAsia="en-US" w:bidi="ar-SA"/>
      </w:rPr>
    </w:lvl>
    <w:lvl w:ilvl="5" w:tplc="79B48A5E">
      <w:numFmt w:val="bullet"/>
      <w:lvlText w:val="•"/>
      <w:lvlJc w:val="left"/>
      <w:pPr>
        <w:ind w:left="5500" w:hanging="361"/>
      </w:pPr>
      <w:rPr>
        <w:rFonts w:hint="default"/>
        <w:lang w:val="en-US" w:eastAsia="en-US" w:bidi="ar-SA"/>
      </w:rPr>
    </w:lvl>
    <w:lvl w:ilvl="6" w:tplc="C49C4C82">
      <w:numFmt w:val="bullet"/>
      <w:lvlText w:val="•"/>
      <w:lvlJc w:val="left"/>
      <w:pPr>
        <w:ind w:left="6384" w:hanging="361"/>
      </w:pPr>
      <w:rPr>
        <w:rFonts w:hint="default"/>
        <w:lang w:val="en-US" w:eastAsia="en-US" w:bidi="ar-SA"/>
      </w:rPr>
    </w:lvl>
    <w:lvl w:ilvl="7" w:tplc="A6DCECD4">
      <w:numFmt w:val="bullet"/>
      <w:lvlText w:val="•"/>
      <w:lvlJc w:val="left"/>
      <w:pPr>
        <w:ind w:left="7268" w:hanging="361"/>
      </w:pPr>
      <w:rPr>
        <w:rFonts w:hint="default"/>
        <w:lang w:val="en-US" w:eastAsia="en-US" w:bidi="ar-SA"/>
      </w:rPr>
    </w:lvl>
    <w:lvl w:ilvl="8" w:tplc="2D8E143A">
      <w:numFmt w:val="bullet"/>
      <w:lvlText w:val="•"/>
      <w:lvlJc w:val="left"/>
      <w:pPr>
        <w:ind w:left="8153" w:hanging="361"/>
      </w:pPr>
      <w:rPr>
        <w:rFonts w:hint="default"/>
        <w:lang w:val="en-US" w:eastAsia="en-US" w:bidi="ar-SA"/>
      </w:rPr>
    </w:lvl>
  </w:abstractNum>
  <w:abstractNum w:abstractNumId="5">
    <w:nsid w:val="2F81304F"/>
    <w:multiLevelType w:val="hybridMultilevel"/>
    <w:tmpl w:val="7E3AFB00"/>
    <w:lvl w:ilvl="0" w:tplc="E1E2494C">
      <w:start w:val="1"/>
      <w:numFmt w:val="decimal"/>
      <w:lvlText w:val="%1."/>
      <w:lvlJc w:val="left"/>
      <w:pPr>
        <w:tabs>
          <w:tab w:val="num" w:pos="720"/>
        </w:tabs>
        <w:ind w:left="720" w:hanging="360"/>
      </w:pPr>
      <w:rPr>
        <w:rFonts w:hint="default"/>
      </w:rPr>
    </w:lvl>
    <w:lvl w:ilvl="1" w:tplc="4A0282AE">
      <w:numFmt w:val="none"/>
      <w:lvlText w:val=""/>
      <w:lvlJc w:val="left"/>
      <w:pPr>
        <w:tabs>
          <w:tab w:val="num" w:pos="360"/>
        </w:tabs>
      </w:pPr>
    </w:lvl>
    <w:lvl w:ilvl="2" w:tplc="BAF268B4">
      <w:numFmt w:val="none"/>
      <w:lvlText w:val=""/>
      <w:lvlJc w:val="left"/>
      <w:pPr>
        <w:tabs>
          <w:tab w:val="num" w:pos="360"/>
        </w:tabs>
      </w:pPr>
    </w:lvl>
    <w:lvl w:ilvl="3" w:tplc="2E5AA5CE">
      <w:numFmt w:val="none"/>
      <w:lvlText w:val=""/>
      <w:lvlJc w:val="left"/>
      <w:pPr>
        <w:tabs>
          <w:tab w:val="num" w:pos="360"/>
        </w:tabs>
      </w:pPr>
    </w:lvl>
    <w:lvl w:ilvl="4" w:tplc="569631CE">
      <w:numFmt w:val="none"/>
      <w:lvlText w:val=""/>
      <w:lvlJc w:val="left"/>
      <w:pPr>
        <w:tabs>
          <w:tab w:val="num" w:pos="360"/>
        </w:tabs>
      </w:pPr>
    </w:lvl>
    <w:lvl w:ilvl="5" w:tplc="3A402D1A">
      <w:numFmt w:val="none"/>
      <w:lvlText w:val=""/>
      <w:lvlJc w:val="left"/>
      <w:pPr>
        <w:tabs>
          <w:tab w:val="num" w:pos="360"/>
        </w:tabs>
      </w:pPr>
    </w:lvl>
    <w:lvl w:ilvl="6" w:tplc="980A6740">
      <w:numFmt w:val="none"/>
      <w:lvlText w:val=""/>
      <w:lvlJc w:val="left"/>
      <w:pPr>
        <w:tabs>
          <w:tab w:val="num" w:pos="360"/>
        </w:tabs>
      </w:pPr>
    </w:lvl>
    <w:lvl w:ilvl="7" w:tplc="6CB6FF78">
      <w:numFmt w:val="none"/>
      <w:lvlText w:val=""/>
      <w:lvlJc w:val="left"/>
      <w:pPr>
        <w:tabs>
          <w:tab w:val="num" w:pos="360"/>
        </w:tabs>
      </w:pPr>
    </w:lvl>
    <w:lvl w:ilvl="8" w:tplc="2C1A5FFC">
      <w:numFmt w:val="none"/>
      <w:lvlText w:val=""/>
      <w:lvlJc w:val="left"/>
      <w:pPr>
        <w:tabs>
          <w:tab w:val="num" w:pos="360"/>
        </w:tabs>
      </w:pPr>
    </w:lvl>
  </w:abstractNum>
  <w:abstractNum w:abstractNumId="6">
    <w:nsid w:val="7339249D"/>
    <w:multiLevelType w:val="hybridMultilevel"/>
    <w:tmpl w:val="BCCA2AA4"/>
    <w:lvl w:ilvl="0" w:tplc="4BDC906C">
      <w:start w:val="1"/>
      <w:numFmt w:val="decimal"/>
      <w:lvlText w:val="%1."/>
      <w:lvlJc w:val="left"/>
      <w:pPr>
        <w:ind w:left="1081" w:hanging="361"/>
        <w:jc w:val="left"/>
      </w:pPr>
      <w:rPr>
        <w:rFonts w:ascii="Calibri" w:eastAsia="Calibri" w:hAnsi="Calibri" w:cs="Calibri" w:hint="default"/>
        <w:b w:val="0"/>
        <w:bCs w:val="0"/>
        <w:i w:val="0"/>
        <w:iCs w:val="0"/>
        <w:spacing w:val="0"/>
        <w:w w:val="99"/>
        <w:sz w:val="22"/>
        <w:szCs w:val="22"/>
        <w:lang w:val="en-US" w:eastAsia="en-US" w:bidi="ar-SA"/>
      </w:rPr>
    </w:lvl>
    <w:lvl w:ilvl="1" w:tplc="298EA6DC">
      <w:numFmt w:val="bullet"/>
      <w:lvlText w:val="•"/>
      <w:lvlJc w:val="left"/>
      <w:pPr>
        <w:ind w:left="1964" w:hanging="361"/>
      </w:pPr>
      <w:rPr>
        <w:rFonts w:hint="default"/>
        <w:lang w:val="en-US" w:eastAsia="en-US" w:bidi="ar-SA"/>
      </w:rPr>
    </w:lvl>
    <w:lvl w:ilvl="2" w:tplc="AFA4D2EE">
      <w:numFmt w:val="bullet"/>
      <w:lvlText w:val="•"/>
      <w:lvlJc w:val="left"/>
      <w:pPr>
        <w:ind w:left="2848" w:hanging="361"/>
      </w:pPr>
      <w:rPr>
        <w:rFonts w:hint="default"/>
        <w:lang w:val="en-US" w:eastAsia="en-US" w:bidi="ar-SA"/>
      </w:rPr>
    </w:lvl>
    <w:lvl w:ilvl="3" w:tplc="A198D228">
      <w:numFmt w:val="bullet"/>
      <w:lvlText w:val="•"/>
      <w:lvlJc w:val="left"/>
      <w:pPr>
        <w:ind w:left="3732" w:hanging="361"/>
      </w:pPr>
      <w:rPr>
        <w:rFonts w:hint="default"/>
        <w:lang w:val="en-US" w:eastAsia="en-US" w:bidi="ar-SA"/>
      </w:rPr>
    </w:lvl>
    <w:lvl w:ilvl="4" w:tplc="E7E60C12">
      <w:numFmt w:val="bullet"/>
      <w:lvlText w:val="•"/>
      <w:lvlJc w:val="left"/>
      <w:pPr>
        <w:ind w:left="4616" w:hanging="361"/>
      </w:pPr>
      <w:rPr>
        <w:rFonts w:hint="default"/>
        <w:lang w:val="en-US" w:eastAsia="en-US" w:bidi="ar-SA"/>
      </w:rPr>
    </w:lvl>
    <w:lvl w:ilvl="5" w:tplc="7AC6653A">
      <w:numFmt w:val="bullet"/>
      <w:lvlText w:val="•"/>
      <w:lvlJc w:val="left"/>
      <w:pPr>
        <w:ind w:left="5500" w:hanging="361"/>
      </w:pPr>
      <w:rPr>
        <w:rFonts w:hint="default"/>
        <w:lang w:val="en-US" w:eastAsia="en-US" w:bidi="ar-SA"/>
      </w:rPr>
    </w:lvl>
    <w:lvl w:ilvl="6" w:tplc="C504B7BC">
      <w:numFmt w:val="bullet"/>
      <w:lvlText w:val="•"/>
      <w:lvlJc w:val="left"/>
      <w:pPr>
        <w:ind w:left="6384" w:hanging="361"/>
      </w:pPr>
      <w:rPr>
        <w:rFonts w:hint="default"/>
        <w:lang w:val="en-US" w:eastAsia="en-US" w:bidi="ar-SA"/>
      </w:rPr>
    </w:lvl>
    <w:lvl w:ilvl="7" w:tplc="5EEE6206">
      <w:numFmt w:val="bullet"/>
      <w:lvlText w:val="•"/>
      <w:lvlJc w:val="left"/>
      <w:pPr>
        <w:ind w:left="7268" w:hanging="361"/>
      </w:pPr>
      <w:rPr>
        <w:rFonts w:hint="default"/>
        <w:lang w:val="en-US" w:eastAsia="en-US" w:bidi="ar-SA"/>
      </w:rPr>
    </w:lvl>
    <w:lvl w:ilvl="8" w:tplc="E0B4E086">
      <w:numFmt w:val="bullet"/>
      <w:lvlText w:val="•"/>
      <w:lvlJc w:val="left"/>
      <w:pPr>
        <w:ind w:left="8153" w:hanging="361"/>
      </w:pPr>
      <w:rPr>
        <w:rFonts w:hint="default"/>
        <w:lang w:val="en-US" w:eastAsia="en-US" w:bidi="ar-SA"/>
      </w:rPr>
    </w:lvl>
  </w:abstractNum>
  <w:abstractNum w:abstractNumId="7">
    <w:nsid w:val="7BCC122A"/>
    <w:multiLevelType w:val="hybridMultilevel"/>
    <w:tmpl w:val="EE5E4240"/>
    <w:lvl w:ilvl="0" w:tplc="FF7A6F84">
      <w:start w:val="1"/>
      <w:numFmt w:val="decimal"/>
      <w:lvlText w:val="%1."/>
      <w:lvlJc w:val="left"/>
      <w:pPr>
        <w:ind w:left="1081" w:hanging="361"/>
        <w:jc w:val="left"/>
      </w:pPr>
      <w:rPr>
        <w:rFonts w:ascii="Calibri" w:eastAsia="Calibri" w:hAnsi="Calibri" w:cs="Calibri" w:hint="default"/>
        <w:b w:val="0"/>
        <w:bCs w:val="0"/>
        <w:i w:val="0"/>
        <w:iCs w:val="0"/>
        <w:spacing w:val="0"/>
        <w:w w:val="99"/>
        <w:sz w:val="22"/>
        <w:szCs w:val="22"/>
        <w:lang w:val="en-US" w:eastAsia="en-US" w:bidi="ar-SA"/>
      </w:rPr>
    </w:lvl>
    <w:lvl w:ilvl="1" w:tplc="8EDC27AA">
      <w:numFmt w:val="bullet"/>
      <w:lvlText w:val="•"/>
      <w:lvlJc w:val="left"/>
      <w:pPr>
        <w:ind w:left="1964" w:hanging="361"/>
      </w:pPr>
      <w:rPr>
        <w:rFonts w:hint="default"/>
        <w:lang w:val="en-US" w:eastAsia="en-US" w:bidi="ar-SA"/>
      </w:rPr>
    </w:lvl>
    <w:lvl w:ilvl="2" w:tplc="294A889C">
      <w:numFmt w:val="bullet"/>
      <w:lvlText w:val="•"/>
      <w:lvlJc w:val="left"/>
      <w:pPr>
        <w:ind w:left="2848" w:hanging="361"/>
      </w:pPr>
      <w:rPr>
        <w:rFonts w:hint="default"/>
        <w:lang w:val="en-US" w:eastAsia="en-US" w:bidi="ar-SA"/>
      </w:rPr>
    </w:lvl>
    <w:lvl w:ilvl="3" w:tplc="56C679F4">
      <w:numFmt w:val="bullet"/>
      <w:lvlText w:val="•"/>
      <w:lvlJc w:val="left"/>
      <w:pPr>
        <w:ind w:left="3732" w:hanging="361"/>
      </w:pPr>
      <w:rPr>
        <w:rFonts w:hint="default"/>
        <w:lang w:val="en-US" w:eastAsia="en-US" w:bidi="ar-SA"/>
      </w:rPr>
    </w:lvl>
    <w:lvl w:ilvl="4" w:tplc="E076C7D0">
      <w:numFmt w:val="bullet"/>
      <w:lvlText w:val="•"/>
      <w:lvlJc w:val="left"/>
      <w:pPr>
        <w:ind w:left="4616" w:hanging="361"/>
      </w:pPr>
      <w:rPr>
        <w:rFonts w:hint="default"/>
        <w:lang w:val="en-US" w:eastAsia="en-US" w:bidi="ar-SA"/>
      </w:rPr>
    </w:lvl>
    <w:lvl w:ilvl="5" w:tplc="32426B6E">
      <w:numFmt w:val="bullet"/>
      <w:lvlText w:val="•"/>
      <w:lvlJc w:val="left"/>
      <w:pPr>
        <w:ind w:left="5500" w:hanging="361"/>
      </w:pPr>
      <w:rPr>
        <w:rFonts w:hint="default"/>
        <w:lang w:val="en-US" w:eastAsia="en-US" w:bidi="ar-SA"/>
      </w:rPr>
    </w:lvl>
    <w:lvl w:ilvl="6" w:tplc="EDB4AD66">
      <w:numFmt w:val="bullet"/>
      <w:lvlText w:val="•"/>
      <w:lvlJc w:val="left"/>
      <w:pPr>
        <w:ind w:left="6384" w:hanging="361"/>
      </w:pPr>
      <w:rPr>
        <w:rFonts w:hint="default"/>
        <w:lang w:val="en-US" w:eastAsia="en-US" w:bidi="ar-SA"/>
      </w:rPr>
    </w:lvl>
    <w:lvl w:ilvl="7" w:tplc="B750F292">
      <w:numFmt w:val="bullet"/>
      <w:lvlText w:val="•"/>
      <w:lvlJc w:val="left"/>
      <w:pPr>
        <w:ind w:left="7268" w:hanging="361"/>
      </w:pPr>
      <w:rPr>
        <w:rFonts w:hint="default"/>
        <w:lang w:val="en-US" w:eastAsia="en-US" w:bidi="ar-SA"/>
      </w:rPr>
    </w:lvl>
    <w:lvl w:ilvl="8" w:tplc="4A181326">
      <w:numFmt w:val="bullet"/>
      <w:lvlText w:val="•"/>
      <w:lvlJc w:val="left"/>
      <w:pPr>
        <w:ind w:left="8153" w:hanging="361"/>
      </w:pPr>
      <w:rPr>
        <w:rFonts w:hint="default"/>
        <w:lang w:val="en-US" w:eastAsia="en-US" w:bidi="ar-SA"/>
      </w:rPr>
    </w:lvl>
  </w:abstractNum>
  <w:abstractNum w:abstractNumId="8">
    <w:nsid w:val="7F855FDD"/>
    <w:multiLevelType w:val="hybridMultilevel"/>
    <w:tmpl w:val="FA0433DE"/>
    <w:lvl w:ilvl="0" w:tplc="1464B9D8">
      <w:start w:val="1"/>
      <w:numFmt w:val="decimal"/>
      <w:lvlText w:val="%1."/>
      <w:lvlJc w:val="left"/>
      <w:pPr>
        <w:ind w:left="1080" w:hanging="361"/>
        <w:jc w:val="left"/>
      </w:pPr>
      <w:rPr>
        <w:rFonts w:ascii="Calibri" w:eastAsia="Calibri" w:hAnsi="Calibri" w:cs="Calibri" w:hint="default"/>
        <w:b w:val="0"/>
        <w:bCs w:val="0"/>
        <w:i w:val="0"/>
        <w:iCs w:val="0"/>
        <w:spacing w:val="0"/>
        <w:w w:val="99"/>
        <w:sz w:val="22"/>
        <w:szCs w:val="22"/>
        <w:lang w:val="en-US" w:eastAsia="en-US" w:bidi="ar-SA"/>
      </w:rPr>
    </w:lvl>
    <w:lvl w:ilvl="1" w:tplc="0C6E1748">
      <w:numFmt w:val="bullet"/>
      <w:lvlText w:val="•"/>
      <w:lvlJc w:val="left"/>
      <w:pPr>
        <w:ind w:left="1964" w:hanging="361"/>
      </w:pPr>
      <w:rPr>
        <w:rFonts w:hint="default"/>
        <w:lang w:val="en-US" w:eastAsia="en-US" w:bidi="ar-SA"/>
      </w:rPr>
    </w:lvl>
    <w:lvl w:ilvl="2" w:tplc="AEAEED86">
      <w:numFmt w:val="bullet"/>
      <w:lvlText w:val="•"/>
      <w:lvlJc w:val="left"/>
      <w:pPr>
        <w:ind w:left="2848" w:hanging="361"/>
      </w:pPr>
      <w:rPr>
        <w:rFonts w:hint="default"/>
        <w:lang w:val="en-US" w:eastAsia="en-US" w:bidi="ar-SA"/>
      </w:rPr>
    </w:lvl>
    <w:lvl w:ilvl="3" w:tplc="D3702150">
      <w:numFmt w:val="bullet"/>
      <w:lvlText w:val="•"/>
      <w:lvlJc w:val="left"/>
      <w:pPr>
        <w:ind w:left="3732" w:hanging="361"/>
      </w:pPr>
      <w:rPr>
        <w:rFonts w:hint="default"/>
        <w:lang w:val="en-US" w:eastAsia="en-US" w:bidi="ar-SA"/>
      </w:rPr>
    </w:lvl>
    <w:lvl w:ilvl="4" w:tplc="3C641B44">
      <w:numFmt w:val="bullet"/>
      <w:lvlText w:val="•"/>
      <w:lvlJc w:val="left"/>
      <w:pPr>
        <w:ind w:left="4616" w:hanging="361"/>
      </w:pPr>
      <w:rPr>
        <w:rFonts w:hint="default"/>
        <w:lang w:val="en-US" w:eastAsia="en-US" w:bidi="ar-SA"/>
      </w:rPr>
    </w:lvl>
    <w:lvl w:ilvl="5" w:tplc="41CE0D8C">
      <w:numFmt w:val="bullet"/>
      <w:lvlText w:val="•"/>
      <w:lvlJc w:val="left"/>
      <w:pPr>
        <w:ind w:left="5500" w:hanging="361"/>
      </w:pPr>
      <w:rPr>
        <w:rFonts w:hint="default"/>
        <w:lang w:val="en-US" w:eastAsia="en-US" w:bidi="ar-SA"/>
      </w:rPr>
    </w:lvl>
    <w:lvl w:ilvl="6" w:tplc="14045844">
      <w:numFmt w:val="bullet"/>
      <w:lvlText w:val="•"/>
      <w:lvlJc w:val="left"/>
      <w:pPr>
        <w:ind w:left="6384" w:hanging="361"/>
      </w:pPr>
      <w:rPr>
        <w:rFonts w:hint="default"/>
        <w:lang w:val="en-US" w:eastAsia="en-US" w:bidi="ar-SA"/>
      </w:rPr>
    </w:lvl>
    <w:lvl w:ilvl="7" w:tplc="A490A496">
      <w:numFmt w:val="bullet"/>
      <w:lvlText w:val="•"/>
      <w:lvlJc w:val="left"/>
      <w:pPr>
        <w:ind w:left="7268" w:hanging="361"/>
      </w:pPr>
      <w:rPr>
        <w:rFonts w:hint="default"/>
        <w:lang w:val="en-US" w:eastAsia="en-US" w:bidi="ar-SA"/>
      </w:rPr>
    </w:lvl>
    <w:lvl w:ilvl="8" w:tplc="A4421368">
      <w:numFmt w:val="bullet"/>
      <w:lvlText w:val="•"/>
      <w:lvlJc w:val="left"/>
      <w:pPr>
        <w:ind w:left="8153" w:hanging="361"/>
      </w:pPr>
      <w:rPr>
        <w:rFonts w:hint="default"/>
        <w:lang w:val="en-US" w:eastAsia="en-US" w:bidi="ar-SA"/>
      </w:rPr>
    </w:lvl>
  </w:abstractNum>
  <w:num w:numId="1">
    <w:abstractNumId w:val="4"/>
  </w:num>
  <w:num w:numId="2">
    <w:abstractNumId w:val="3"/>
  </w:num>
  <w:num w:numId="3">
    <w:abstractNumId w:val="8"/>
  </w:num>
  <w:num w:numId="4">
    <w:abstractNumId w:val="7"/>
  </w:num>
  <w:num w:numId="5">
    <w:abstractNumId w:val="6"/>
  </w:num>
  <w:num w:numId="6">
    <w:abstractNumId w:val="1"/>
  </w:num>
  <w:num w:numId="7">
    <w:abstractNumId w:val="2"/>
  </w:num>
  <w:num w:numId="8">
    <w:abstractNumId w:val="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D3721"/>
    <w:rsid w:val="00050840"/>
    <w:rsid w:val="007256E7"/>
    <w:rsid w:val="00A113F1"/>
    <w:rsid w:val="00EC5BB7"/>
    <w:rsid w:val="00F42D8E"/>
    <w:rsid w:val="00FD3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42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line="252" w:lineRule="exact"/>
      <w:ind w:left="60"/>
    </w:pPr>
    <w:rPr>
      <w:rFonts w:ascii="Times New Roman" w:eastAsia="Times New Roman" w:hAnsi="Times New Roman" w:cs="Times New Roman"/>
      <w:sz w:val="24"/>
      <w:szCs w:val="24"/>
    </w:rPr>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256E7"/>
    <w:pPr>
      <w:tabs>
        <w:tab w:val="center" w:pos="4680"/>
        <w:tab w:val="right" w:pos="9360"/>
      </w:tabs>
    </w:pPr>
  </w:style>
  <w:style w:type="character" w:customStyle="1" w:styleId="HeaderChar">
    <w:name w:val="Header Char"/>
    <w:basedOn w:val="DefaultParagraphFont"/>
    <w:link w:val="Header"/>
    <w:uiPriority w:val="99"/>
    <w:rsid w:val="007256E7"/>
    <w:rPr>
      <w:rFonts w:ascii="Calibri" w:eastAsia="Calibri" w:hAnsi="Calibri" w:cs="Calibri"/>
    </w:rPr>
  </w:style>
  <w:style w:type="paragraph" w:styleId="Footer">
    <w:name w:val="footer"/>
    <w:basedOn w:val="Normal"/>
    <w:link w:val="FooterChar"/>
    <w:uiPriority w:val="99"/>
    <w:unhideWhenUsed/>
    <w:rsid w:val="007256E7"/>
    <w:pPr>
      <w:tabs>
        <w:tab w:val="center" w:pos="4680"/>
        <w:tab w:val="right" w:pos="9360"/>
      </w:tabs>
    </w:pPr>
  </w:style>
  <w:style w:type="character" w:customStyle="1" w:styleId="FooterChar">
    <w:name w:val="Footer Char"/>
    <w:basedOn w:val="DefaultParagraphFont"/>
    <w:link w:val="Footer"/>
    <w:uiPriority w:val="99"/>
    <w:rsid w:val="007256E7"/>
    <w:rPr>
      <w:rFonts w:ascii="Calibri" w:eastAsia="Calibri" w:hAnsi="Calibri" w:cs="Calibri"/>
    </w:rPr>
  </w:style>
  <w:style w:type="paragraph" w:styleId="BalloonText">
    <w:name w:val="Balloon Text"/>
    <w:basedOn w:val="Normal"/>
    <w:link w:val="BalloonTextChar"/>
    <w:uiPriority w:val="99"/>
    <w:semiHidden/>
    <w:unhideWhenUsed/>
    <w:rsid w:val="007256E7"/>
    <w:rPr>
      <w:rFonts w:ascii="Tahoma" w:hAnsi="Tahoma" w:cs="Tahoma"/>
      <w:sz w:val="16"/>
      <w:szCs w:val="16"/>
    </w:rPr>
  </w:style>
  <w:style w:type="character" w:customStyle="1" w:styleId="BalloonTextChar">
    <w:name w:val="Balloon Text Char"/>
    <w:basedOn w:val="DefaultParagraphFont"/>
    <w:link w:val="BalloonText"/>
    <w:uiPriority w:val="99"/>
    <w:semiHidden/>
    <w:rsid w:val="007256E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42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line="252" w:lineRule="exact"/>
      <w:ind w:left="60"/>
    </w:pPr>
    <w:rPr>
      <w:rFonts w:ascii="Times New Roman" w:eastAsia="Times New Roman" w:hAnsi="Times New Roman" w:cs="Times New Roman"/>
      <w:sz w:val="24"/>
      <w:szCs w:val="24"/>
    </w:rPr>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256E7"/>
    <w:pPr>
      <w:tabs>
        <w:tab w:val="center" w:pos="4680"/>
        <w:tab w:val="right" w:pos="9360"/>
      </w:tabs>
    </w:pPr>
  </w:style>
  <w:style w:type="character" w:customStyle="1" w:styleId="HeaderChar">
    <w:name w:val="Header Char"/>
    <w:basedOn w:val="DefaultParagraphFont"/>
    <w:link w:val="Header"/>
    <w:uiPriority w:val="99"/>
    <w:rsid w:val="007256E7"/>
    <w:rPr>
      <w:rFonts w:ascii="Calibri" w:eastAsia="Calibri" w:hAnsi="Calibri" w:cs="Calibri"/>
    </w:rPr>
  </w:style>
  <w:style w:type="paragraph" w:styleId="Footer">
    <w:name w:val="footer"/>
    <w:basedOn w:val="Normal"/>
    <w:link w:val="FooterChar"/>
    <w:uiPriority w:val="99"/>
    <w:unhideWhenUsed/>
    <w:rsid w:val="007256E7"/>
    <w:pPr>
      <w:tabs>
        <w:tab w:val="center" w:pos="4680"/>
        <w:tab w:val="right" w:pos="9360"/>
      </w:tabs>
    </w:pPr>
  </w:style>
  <w:style w:type="character" w:customStyle="1" w:styleId="FooterChar">
    <w:name w:val="Footer Char"/>
    <w:basedOn w:val="DefaultParagraphFont"/>
    <w:link w:val="Footer"/>
    <w:uiPriority w:val="99"/>
    <w:rsid w:val="007256E7"/>
    <w:rPr>
      <w:rFonts w:ascii="Calibri" w:eastAsia="Calibri" w:hAnsi="Calibri" w:cs="Calibri"/>
    </w:rPr>
  </w:style>
  <w:style w:type="paragraph" w:styleId="BalloonText">
    <w:name w:val="Balloon Text"/>
    <w:basedOn w:val="Normal"/>
    <w:link w:val="BalloonTextChar"/>
    <w:uiPriority w:val="99"/>
    <w:semiHidden/>
    <w:unhideWhenUsed/>
    <w:rsid w:val="007256E7"/>
    <w:rPr>
      <w:rFonts w:ascii="Tahoma" w:hAnsi="Tahoma" w:cs="Tahoma"/>
      <w:sz w:val="16"/>
      <w:szCs w:val="16"/>
    </w:rPr>
  </w:style>
  <w:style w:type="character" w:customStyle="1" w:styleId="BalloonTextChar">
    <w:name w:val="Balloon Text Char"/>
    <w:basedOn w:val="DefaultParagraphFont"/>
    <w:link w:val="BalloonText"/>
    <w:uiPriority w:val="99"/>
    <w:semiHidden/>
    <w:rsid w:val="007256E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1027</Words>
  <Characters>5859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Patent for Inventions, Utility solutions in Vietnam</vt:lpstr>
    </vt:vector>
  </TitlesOfParts>
  <Company>winco</Company>
  <LinksUpToDate>false</LinksUpToDate>
  <CharactersWithSpaces>6873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Patent for Inventions, Utility solutions in Vietnam</dc:title>
  <dc:creator>dinhte</dc:creator>
  <cp:lastModifiedBy>W10-2004</cp:lastModifiedBy>
  <cp:revision>2</cp:revision>
  <dcterms:created xsi:type="dcterms:W3CDTF">2025-12-24T08:39:00Z</dcterms:created>
  <dcterms:modified xsi:type="dcterms:W3CDTF">2025-12-24T08:39:00Z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2018-09-20T00:00:00Z</vt:filetime>
  </property>
  <property fmtid="{D5CDD505-2E9C-101B-9397-08002B2CF9AE}" pid="3" name="Creator">
    <vt:lpwstr>Acrobat PDFMaker 9.1 for Word</vt:lpwstr>
  </property>
  <property fmtid="{D5CDD505-2E9C-101B-9397-08002B2CF9AE}" pid="4" name="LastSaved">
    <vt:filetime>2025-07-24T00:00:00Z</vt:filetime>
  </property>
  <property fmtid="{D5CDD505-2E9C-101B-9397-08002B2CF9AE}" pid="5" name="Producer">
    <vt:lpwstr>3-Heights(TM) PDF Security Shell 4.8.25.2 (http://www.pdf-tools.com)</vt:lpwstr>
  </property>
  <property fmtid="{D5CDD505-2E9C-101B-9397-08002B2CF9AE}" pid="6" name="SourceModified">
    <vt:lpwstr>D:20180920045534</vt:lpwstr>
  </property>
</Properties>
</file>